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right"/>
        <w:tblLayout w:type="fixed"/>
        <w:tblLook w:val="0000"/>
      </w:tblPr>
      <w:tblGrid>
        <w:gridCol w:w="6409"/>
        <w:gridCol w:w="18"/>
        <w:gridCol w:w="3285"/>
      </w:tblGrid>
      <w:tr w:rsidR="00E33213" w:rsidRPr="00585656" w:rsidTr="00E36BD5">
        <w:trPr>
          <w:cantSplit/>
          <w:trHeight w:val="718"/>
          <w:jc w:val="right"/>
        </w:trPr>
        <w:tc>
          <w:tcPr>
            <w:tcW w:w="6644" w:type="dxa"/>
            <w:tcBorders>
              <w:bottom w:val="single" w:sz="2" w:space="0" w:color="auto"/>
            </w:tcBorders>
          </w:tcPr>
          <w:p w:rsidR="00E33213" w:rsidRPr="00585656" w:rsidRDefault="00E33213" w:rsidP="006E52CF">
            <w:pPr>
              <w:tabs>
                <w:tab w:val="left" w:pos="1247"/>
                <w:tab w:val="left" w:pos="1814"/>
                <w:tab w:val="left" w:pos="2381"/>
                <w:tab w:val="left" w:pos="2948"/>
                <w:tab w:val="left" w:pos="3515"/>
                <w:tab w:val="left" w:pos="4082"/>
              </w:tabs>
              <w:spacing w:before="40"/>
              <w:rPr>
                <w:sz w:val="20"/>
                <w:szCs w:val="20"/>
              </w:rPr>
            </w:pPr>
            <w:r w:rsidRPr="00585656">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alt="Description: Description: 2logos_H" style="width:78.75pt;height:36pt;visibility:visible">
                  <v:imagedata r:id="rId7" o:title=""/>
                </v:shape>
              </w:pict>
            </w:r>
          </w:p>
        </w:tc>
        <w:tc>
          <w:tcPr>
            <w:tcW w:w="3421" w:type="dxa"/>
            <w:gridSpan w:val="2"/>
            <w:tcBorders>
              <w:bottom w:val="single" w:sz="2" w:space="0" w:color="auto"/>
            </w:tcBorders>
            <w:vAlign w:val="bottom"/>
          </w:tcPr>
          <w:p w:rsidR="00E33213" w:rsidRPr="00585656" w:rsidRDefault="00E33213" w:rsidP="005A6EB9">
            <w:pPr>
              <w:tabs>
                <w:tab w:val="left" w:pos="1247"/>
                <w:tab w:val="left" w:pos="1814"/>
                <w:tab w:val="left" w:pos="2381"/>
                <w:tab w:val="left" w:pos="2948"/>
                <w:tab w:val="left" w:pos="3515"/>
                <w:tab w:val="left" w:pos="4082"/>
              </w:tabs>
              <w:spacing w:before="800"/>
            </w:pPr>
            <w:r w:rsidRPr="00144B3C">
              <w:rPr>
                <w:b/>
              </w:rPr>
              <w:t>SAICM</w:t>
            </w:r>
            <w:r w:rsidRPr="00144B3C">
              <w:t>/</w:t>
            </w:r>
            <w:r w:rsidRPr="00144B3C">
              <w:rPr>
                <w:sz w:val="20"/>
                <w:szCs w:val="20"/>
              </w:rPr>
              <w:t>ICCM.4/INF/</w:t>
            </w:r>
            <w:r>
              <w:rPr>
                <w:sz w:val="20"/>
                <w:szCs w:val="20"/>
              </w:rPr>
              <w:t>3</w:t>
            </w:r>
            <w:r w:rsidRPr="00144B3C">
              <w:rPr>
                <w:sz w:val="20"/>
                <w:szCs w:val="20"/>
              </w:rPr>
              <w:t>6</w:t>
            </w:r>
          </w:p>
        </w:tc>
      </w:tr>
      <w:tr w:rsidR="00E33213" w:rsidRPr="00585656" w:rsidTr="00E36BD5">
        <w:trPr>
          <w:cantSplit/>
          <w:trHeight w:val="2275"/>
          <w:jc w:val="right"/>
        </w:trPr>
        <w:tc>
          <w:tcPr>
            <w:tcW w:w="6663" w:type="dxa"/>
            <w:gridSpan w:val="2"/>
            <w:tcBorders>
              <w:top w:val="single" w:sz="2" w:space="0" w:color="auto"/>
              <w:bottom w:val="single" w:sz="24" w:space="0" w:color="auto"/>
            </w:tcBorders>
            <w:vAlign w:val="center"/>
          </w:tcPr>
          <w:p w:rsidR="00E33213" w:rsidRPr="00585656" w:rsidRDefault="00E33213" w:rsidP="006E52CF">
            <w:pPr>
              <w:tabs>
                <w:tab w:val="left" w:pos="1247"/>
                <w:tab w:val="left" w:pos="1814"/>
                <w:tab w:val="left" w:pos="2381"/>
                <w:tab w:val="left" w:pos="2948"/>
                <w:tab w:val="left" w:pos="3515"/>
                <w:tab w:val="left" w:pos="4082"/>
              </w:tabs>
              <w:rPr>
                <w:sz w:val="20"/>
                <w:szCs w:val="20"/>
              </w:rPr>
            </w:pPr>
            <w:r w:rsidRPr="00585656">
              <w:rPr>
                <w:noProof/>
                <w:sz w:val="20"/>
                <w:szCs w:val="20"/>
              </w:rPr>
              <w:pict>
                <v:shape id="Picture 4" o:spid="_x0000_i1026" type="#_x0000_t75" alt="Description: Description: #logo-title" style="width:194.25pt;height:31.5pt;visibility:visible">
                  <v:imagedata r:id="rId8" o:title=""/>
                </v:shape>
              </w:pict>
            </w:r>
          </w:p>
        </w:tc>
        <w:tc>
          <w:tcPr>
            <w:tcW w:w="3402" w:type="dxa"/>
            <w:tcBorders>
              <w:top w:val="single" w:sz="2" w:space="0" w:color="auto"/>
              <w:bottom w:val="single" w:sz="24" w:space="0" w:color="auto"/>
            </w:tcBorders>
          </w:tcPr>
          <w:p w:rsidR="00E33213" w:rsidRPr="006E52CF" w:rsidRDefault="00E33213" w:rsidP="00CB4804">
            <w:pPr>
              <w:pStyle w:val="Normal-pool"/>
              <w:tabs>
                <w:tab w:val="left" w:pos="4082"/>
              </w:tabs>
              <w:spacing w:before="120"/>
              <w:rPr>
                <w:lang w:eastAsia="en-US"/>
              </w:rPr>
            </w:pPr>
            <w:r w:rsidRPr="006E52CF">
              <w:rPr>
                <w:lang w:eastAsia="en-US"/>
              </w:rPr>
              <w:t>Distr.: General</w:t>
            </w:r>
            <w:r w:rsidRPr="006E52CF">
              <w:rPr>
                <w:lang w:eastAsia="en-US"/>
              </w:rPr>
              <w:br/>
            </w:r>
            <w:r>
              <w:rPr>
                <w:lang w:eastAsia="en-US"/>
              </w:rPr>
              <w:t xml:space="preserve">28 September </w:t>
            </w:r>
            <w:r w:rsidRPr="006E52CF">
              <w:rPr>
                <w:lang w:eastAsia="en-US"/>
              </w:rPr>
              <w:t>2015</w:t>
            </w:r>
          </w:p>
          <w:p w:rsidR="00E33213" w:rsidRPr="006E52CF" w:rsidRDefault="00E33213" w:rsidP="006E52CF">
            <w:pPr>
              <w:pStyle w:val="Normal-pool"/>
              <w:tabs>
                <w:tab w:val="left" w:pos="4082"/>
              </w:tabs>
              <w:spacing w:before="120"/>
              <w:rPr>
                <w:lang w:eastAsia="en-US"/>
              </w:rPr>
            </w:pPr>
            <w:r w:rsidRPr="006E52CF">
              <w:rPr>
                <w:lang w:eastAsia="en-US"/>
              </w:rPr>
              <w:t xml:space="preserve">English </w:t>
            </w:r>
            <w:r>
              <w:rPr>
                <w:lang w:eastAsia="en-US"/>
              </w:rPr>
              <w:t>only</w:t>
            </w:r>
          </w:p>
        </w:tc>
      </w:tr>
    </w:tbl>
    <w:p w:rsidR="00E33213" w:rsidRPr="006E52CF" w:rsidRDefault="00E33213" w:rsidP="006E52CF">
      <w:pPr>
        <w:pStyle w:val="AATitle"/>
      </w:pPr>
      <w:r w:rsidRPr="006E52CF">
        <w:t>International Conference on Chemicals Management</w:t>
      </w:r>
    </w:p>
    <w:p w:rsidR="00E33213" w:rsidRPr="00C867DE" w:rsidRDefault="00E33213" w:rsidP="006E52CF">
      <w:pPr>
        <w:pStyle w:val="AATitle"/>
      </w:pPr>
      <w:r w:rsidRPr="006E52CF">
        <w:t xml:space="preserve">Fourth </w:t>
      </w:r>
      <w:r w:rsidRPr="00C867DE">
        <w:t>session</w:t>
      </w:r>
    </w:p>
    <w:p w:rsidR="00E33213" w:rsidRPr="007E3011" w:rsidRDefault="00E33213" w:rsidP="006E52CF">
      <w:pPr>
        <w:pStyle w:val="AATitle"/>
        <w:rPr>
          <w:b w:val="0"/>
        </w:rPr>
      </w:pPr>
      <w:smartTag w:uri="urn:schemas-microsoft-com:office:smarttags" w:element="City">
        <w:smartTag w:uri="urn:schemas-microsoft-com:office:smarttags" w:element="place">
          <w:r w:rsidRPr="00C867DE">
            <w:rPr>
              <w:b w:val="0"/>
            </w:rPr>
            <w:t>Geneva</w:t>
          </w:r>
        </w:smartTag>
      </w:smartTag>
      <w:r w:rsidRPr="00C867DE">
        <w:rPr>
          <w:b w:val="0"/>
        </w:rPr>
        <w:t>, 2</w:t>
      </w:r>
      <w:r w:rsidRPr="007E3011">
        <w:rPr>
          <w:b w:val="0"/>
        </w:rPr>
        <w:t>8 September–2 October 2015</w:t>
      </w:r>
    </w:p>
    <w:p w:rsidR="00E33213" w:rsidRDefault="00E33213" w:rsidP="00E1785A">
      <w:pPr>
        <w:pStyle w:val="AATitle"/>
        <w:rPr>
          <w:b w:val="0"/>
          <w:bCs/>
        </w:rPr>
      </w:pPr>
      <w:r w:rsidRPr="001423BD">
        <w:rPr>
          <w:b w:val="0"/>
          <w:bCs/>
        </w:rPr>
        <w:t xml:space="preserve">Item 4 </w:t>
      </w:r>
      <w:r>
        <w:rPr>
          <w:b w:val="0"/>
          <w:bCs/>
        </w:rPr>
        <w:t xml:space="preserve">(a) </w:t>
      </w:r>
      <w:r w:rsidRPr="001423BD">
        <w:rPr>
          <w:b w:val="0"/>
          <w:bCs/>
        </w:rPr>
        <w:t>of the provisional agenda</w:t>
      </w:r>
      <w:r w:rsidRPr="001423BD">
        <w:rPr>
          <w:rStyle w:val="FootnoteReference"/>
          <w:b w:val="0"/>
          <w:bCs/>
          <w:sz w:val="20"/>
          <w:vertAlign w:val="baseline"/>
        </w:rPr>
        <w:footnoteReference w:customMarkFollows="1" w:id="1"/>
        <w:sym w:font="Symbol" w:char="F02A"/>
      </w:r>
    </w:p>
    <w:p w:rsidR="00E33213" w:rsidRDefault="00E33213" w:rsidP="00CA5910">
      <w:pPr>
        <w:pStyle w:val="AATitle2"/>
        <w:spacing w:before="60" w:after="0"/>
        <w:ind w:right="4536"/>
        <w:rPr>
          <w:lang w:val="en-US"/>
        </w:rPr>
      </w:pPr>
      <w:r>
        <w:t xml:space="preserve">Progress and challenges towards the achievement of the 2020 goal of sound chemicals </w:t>
      </w:r>
      <w:r w:rsidRPr="00E1785A">
        <w:rPr>
          <w:lang w:val="en-US"/>
        </w:rPr>
        <w:t>management</w:t>
      </w:r>
      <w:r>
        <w:rPr>
          <w:lang w:val="en-US"/>
        </w:rPr>
        <w:t>:</w:t>
      </w:r>
    </w:p>
    <w:p w:rsidR="00E33213" w:rsidRPr="00FC0E13" w:rsidRDefault="00E33213" w:rsidP="00CA5910">
      <w:pPr>
        <w:pStyle w:val="AATitle2"/>
        <w:spacing w:before="0"/>
        <w:ind w:right="4536"/>
      </w:pPr>
      <w:r>
        <w:rPr>
          <w:lang w:val="en-US"/>
        </w:rPr>
        <w:t xml:space="preserve">regional and sectoral achievements, strengths and challenges in the context of working towards the </w:t>
      </w:r>
      <w:bookmarkStart w:id="0" w:name="_GoBack"/>
      <w:bookmarkEnd w:id="0"/>
      <w:r>
        <w:rPr>
          <w:lang w:val="en-US"/>
        </w:rPr>
        <w:t>objectives of the Strategic Approach Overarching Policy Strategy</w:t>
      </w:r>
    </w:p>
    <w:p w:rsidR="00E33213" w:rsidRDefault="00E33213" w:rsidP="00CB4804">
      <w:pPr>
        <w:pStyle w:val="BBTitle"/>
        <w:tabs>
          <w:tab w:val="clear" w:pos="1247"/>
          <w:tab w:val="clear" w:pos="1814"/>
          <w:tab w:val="clear" w:pos="2381"/>
          <w:tab w:val="clear" w:pos="2948"/>
          <w:tab w:val="clear" w:pos="3515"/>
        </w:tabs>
      </w:pPr>
      <w:r>
        <w:t>Report on the Asia-Pacific Economic Cooperation Chemical Dialogue</w:t>
      </w:r>
    </w:p>
    <w:p w:rsidR="00E33213" w:rsidRPr="005162EE" w:rsidRDefault="00E33213" w:rsidP="00E1785A">
      <w:pPr>
        <w:pStyle w:val="CH2"/>
        <w:tabs>
          <w:tab w:val="clear" w:pos="1814"/>
          <w:tab w:val="clear" w:pos="2381"/>
          <w:tab w:val="clear" w:pos="2948"/>
          <w:tab w:val="clear" w:pos="3515"/>
        </w:tabs>
        <w:spacing w:before="80"/>
        <w:rPr>
          <w:bCs/>
        </w:rPr>
      </w:pPr>
      <w:r w:rsidRPr="005162EE">
        <w:tab/>
      </w:r>
      <w:r w:rsidRPr="005162EE">
        <w:tab/>
        <w:t xml:space="preserve">Note by </w:t>
      </w:r>
      <w:r w:rsidRPr="00E1785A">
        <w:rPr>
          <w:rFonts w:eastAsia="SimSun"/>
        </w:rPr>
        <w:t>the</w:t>
      </w:r>
      <w:r w:rsidRPr="005162EE">
        <w:t xml:space="preserve"> </w:t>
      </w:r>
      <w:r w:rsidRPr="00E1785A">
        <w:rPr>
          <w:rFonts w:eastAsia="SimSun"/>
        </w:rPr>
        <w:t>secretariat</w:t>
      </w:r>
    </w:p>
    <w:p w:rsidR="00E33213" w:rsidRPr="002E4074" w:rsidRDefault="00E33213" w:rsidP="005A6EB9">
      <w:pPr>
        <w:pStyle w:val="Normal-pool"/>
        <w:spacing w:after="120"/>
        <w:ind w:left="1247" w:firstLine="624"/>
      </w:pPr>
      <w:r w:rsidRPr="002E4074">
        <w:t xml:space="preserve">The secretariat has the honour to circulate, for the information of participants, </w:t>
      </w:r>
      <w:r>
        <w:t>a report on the 15</w:t>
      </w:r>
      <w:r w:rsidRPr="00752C5A">
        <w:t>th</w:t>
      </w:r>
      <w:r>
        <w:t xml:space="preserve"> </w:t>
      </w:r>
      <w:r w:rsidRPr="005A6EB9">
        <w:t>Asia-Pacific Economic Cooperation Chemical Dialogue</w:t>
      </w:r>
      <w:r>
        <w:t xml:space="preserve">, held in Cebu, Philippines, on 27 August 2015, submitted by </w:t>
      </w:r>
      <w:r w:rsidRPr="005A6EB9">
        <w:t>Asia-Pacific Economic Cooperation</w:t>
      </w:r>
      <w:r>
        <w:t xml:space="preserve"> (see annex). </w:t>
      </w:r>
      <w:r w:rsidRPr="003E7A98">
        <w:rPr>
          <w:lang/>
        </w:rPr>
        <w:t>The report is presented as received by the secretariat, without formal editing.</w:t>
      </w:r>
    </w:p>
    <w:p w:rsidR="00E33213" w:rsidRDefault="00E33213" w:rsidP="00E1785A">
      <w:pPr>
        <w:pStyle w:val="ZZAnxheader"/>
      </w:pPr>
      <w:r>
        <w:rPr>
          <w:rFonts w:eastAsia="MS Mincho"/>
        </w:rPr>
        <w:br w:type="page"/>
      </w:r>
      <w:r w:rsidRPr="00E1785A">
        <w:t>Annex</w:t>
      </w:r>
    </w:p>
    <w:p w:rsidR="00E33213" w:rsidRDefault="00E33213" w:rsidP="00E1785A">
      <w:pPr>
        <w:pStyle w:val="ZZAnxheader"/>
      </w:pPr>
    </w:p>
    <w:p w:rsidR="00E33213" w:rsidRPr="00A1425D" w:rsidRDefault="00E33213" w:rsidP="005A6EB9">
      <w:pPr>
        <w:pStyle w:val="Header"/>
        <w:adjustRightInd w:val="0"/>
        <w:snapToGrid w:val="0"/>
        <w:jc w:val="center"/>
        <w:rPr>
          <w:rFonts w:eastAsia="??"/>
        </w:rPr>
      </w:pPr>
      <w:r w:rsidRPr="00585656">
        <w:rPr>
          <w:noProof/>
          <w:lang w:eastAsia="zh-CN"/>
        </w:rPr>
        <w:pict>
          <v:shape id="_x0000_i1027" type="#_x0000_t75" alt="APEC logo_vertical x250" style="width:2in;height:83.25pt;visibility:visible">
            <v:imagedata r:id="rId9" o:title=""/>
          </v:shape>
        </w:pict>
      </w:r>
    </w:p>
    <w:p w:rsidR="00E33213" w:rsidRDefault="00E33213" w:rsidP="005A6EB9">
      <w:pPr>
        <w:pStyle w:val="Header"/>
        <w:adjustRightInd w:val="0"/>
        <w:snapToGrid w:val="0"/>
        <w:jc w:val="center"/>
        <w:rPr>
          <w:noProof/>
        </w:rPr>
      </w:pPr>
    </w:p>
    <w:p w:rsidR="00E33213" w:rsidRPr="00CA5910" w:rsidRDefault="00E33213" w:rsidP="005A6EB9">
      <w:pPr>
        <w:adjustRightInd w:val="0"/>
        <w:snapToGrid w:val="0"/>
        <w:jc w:val="right"/>
        <w:rPr>
          <w:rFonts w:ascii="Arial" w:eastAsia="??" w:hAnsi="Arial"/>
          <w:b/>
          <w:sz w:val="28"/>
          <w:szCs w:val="28"/>
        </w:rPr>
      </w:pPr>
      <w:r w:rsidRPr="00CA5910">
        <w:rPr>
          <w:rFonts w:ascii="Arial" w:eastAsia="??" w:hAnsi="Arial"/>
          <w:b/>
          <w:sz w:val="28"/>
          <w:szCs w:val="28"/>
        </w:rPr>
        <w:t>2015/SOM3/CD/018</w:t>
      </w:r>
      <w:r w:rsidRPr="00CA5910">
        <w:rPr>
          <w:color w:val="1F497D"/>
        </w:rPr>
        <w:t>/</w:t>
      </w:r>
      <w:r w:rsidRPr="00CA5910">
        <w:rPr>
          <w:rFonts w:ascii="Arial" w:eastAsia="??" w:hAnsi="Arial"/>
          <w:b/>
          <w:sz w:val="28"/>
          <w:szCs w:val="28"/>
        </w:rPr>
        <w:t>Rev. 1</w:t>
      </w:r>
    </w:p>
    <w:p w:rsidR="00E33213" w:rsidRPr="00CA5910" w:rsidRDefault="00E33213" w:rsidP="005A6EB9">
      <w:pPr>
        <w:adjustRightInd w:val="0"/>
        <w:snapToGrid w:val="0"/>
        <w:jc w:val="right"/>
        <w:rPr>
          <w:rFonts w:ascii="Arial" w:hAnsi="Arial"/>
          <w:sz w:val="28"/>
          <w:szCs w:val="28"/>
        </w:rPr>
      </w:pPr>
      <w:r w:rsidRPr="00CA5910">
        <w:rPr>
          <w:rFonts w:ascii="Arial" w:hAnsi="Arial"/>
          <w:sz w:val="28"/>
          <w:szCs w:val="28"/>
        </w:rPr>
        <w:t xml:space="preserve">Agenda Item: 5B </w:t>
      </w:r>
    </w:p>
    <w:p w:rsidR="00E33213" w:rsidRPr="00CA5910" w:rsidRDefault="00E33213" w:rsidP="005A6EB9">
      <w:pPr>
        <w:adjustRightInd w:val="0"/>
        <w:snapToGrid w:val="0"/>
        <w:rPr>
          <w:rFonts w:ascii="Arial" w:hAnsi="Arial"/>
          <w:sz w:val="28"/>
          <w:szCs w:val="28"/>
        </w:rPr>
      </w:pPr>
    </w:p>
    <w:p w:rsidR="00E33213" w:rsidRPr="00CA5910" w:rsidRDefault="00E33213" w:rsidP="005A6EB9">
      <w:pPr>
        <w:adjustRightInd w:val="0"/>
        <w:snapToGrid w:val="0"/>
        <w:rPr>
          <w:rFonts w:ascii="Arial" w:hAnsi="Arial"/>
          <w:sz w:val="28"/>
          <w:szCs w:val="28"/>
        </w:rPr>
      </w:pPr>
    </w:p>
    <w:p w:rsidR="00E33213" w:rsidRPr="00CA5910" w:rsidRDefault="00E33213" w:rsidP="005A6EB9">
      <w:pPr>
        <w:adjustRightInd w:val="0"/>
        <w:snapToGrid w:val="0"/>
        <w:jc w:val="center"/>
        <w:rPr>
          <w:rFonts w:ascii="Arial" w:eastAsia="??" w:hAnsi="Arial"/>
          <w:b/>
          <w:sz w:val="28"/>
          <w:szCs w:val="28"/>
        </w:rPr>
      </w:pPr>
    </w:p>
    <w:p w:rsidR="00E33213" w:rsidRPr="00CA5910" w:rsidRDefault="00E33213" w:rsidP="005A6EB9">
      <w:pPr>
        <w:adjustRightInd w:val="0"/>
        <w:snapToGrid w:val="0"/>
        <w:jc w:val="center"/>
        <w:rPr>
          <w:rFonts w:ascii="Arial" w:eastAsia="??" w:hAnsi="Arial"/>
          <w:b/>
          <w:sz w:val="28"/>
          <w:szCs w:val="28"/>
        </w:rPr>
      </w:pPr>
    </w:p>
    <w:p w:rsidR="00E33213" w:rsidRPr="00CA5910" w:rsidRDefault="00E33213" w:rsidP="005A6EB9">
      <w:pPr>
        <w:adjustRightInd w:val="0"/>
        <w:snapToGrid w:val="0"/>
        <w:jc w:val="center"/>
        <w:rPr>
          <w:rFonts w:ascii="Arial" w:eastAsia="??" w:hAnsi="Arial"/>
          <w:b/>
          <w:sz w:val="28"/>
          <w:szCs w:val="28"/>
        </w:rPr>
      </w:pPr>
    </w:p>
    <w:p w:rsidR="00E33213" w:rsidRPr="00CA5910" w:rsidRDefault="00E33213" w:rsidP="005A6EB9">
      <w:pPr>
        <w:pStyle w:val="Heading3"/>
        <w:adjustRightInd w:val="0"/>
        <w:snapToGrid w:val="0"/>
        <w:rPr>
          <w:rFonts w:ascii="Arial" w:hAnsi="Arial"/>
        </w:rPr>
      </w:pPr>
      <w:r w:rsidRPr="00CA5910">
        <w:rPr>
          <w:rFonts w:ascii="Arial" w:hAnsi="Arial"/>
        </w:rPr>
        <w:t>CD Contribution to ICCM-4</w:t>
      </w:r>
    </w:p>
    <w:p w:rsidR="00E33213" w:rsidRPr="00CA5910" w:rsidRDefault="00E33213" w:rsidP="005A6EB9">
      <w:pPr>
        <w:adjustRightInd w:val="0"/>
        <w:snapToGrid w:val="0"/>
        <w:jc w:val="center"/>
        <w:rPr>
          <w:rFonts w:ascii="Arial" w:eastAsia="??" w:hAnsi="Arial"/>
          <w:sz w:val="28"/>
          <w:szCs w:val="28"/>
        </w:rPr>
      </w:pPr>
    </w:p>
    <w:p w:rsidR="00E33213" w:rsidRPr="00CA5910" w:rsidRDefault="00E33213" w:rsidP="005A6EB9">
      <w:pPr>
        <w:adjustRightInd w:val="0"/>
        <w:snapToGrid w:val="0"/>
        <w:jc w:val="center"/>
        <w:rPr>
          <w:rFonts w:ascii="Arial" w:eastAsia="??" w:hAnsi="Arial"/>
          <w:sz w:val="28"/>
          <w:szCs w:val="28"/>
        </w:rPr>
      </w:pPr>
      <w:r w:rsidRPr="00CA5910">
        <w:rPr>
          <w:rFonts w:ascii="Arial" w:eastAsia="??" w:hAnsi="Arial"/>
          <w:sz w:val="28"/>
          <w:szCs w:val="28"/>
        </w:rPr>
        <w:t>Purpose: Consideration</w:t>
      </w:r>
    </w:p>
    <w:p w:rsidR="00E33213" w:rsidRPr="00442380" w:rsidRDefault="00E33213" w:rsidP="005A6EB9">
      <w:pPr>
        <w:pStyle w:val="Heading7"/>
        <w:adjustRightInd w:val="0"/>
        <w:snapToGrid w:val="0"/>
        <w:rPr>
          <w:rFonts w:ascii="Arial" w:hAnsi="Arial"/>
          <w:sz w:val="28"/>
          <w:szCs w:val="28"/>
        </w:rPr>
      </w:pPr>
      <w:r w:rsidRPr="00442380">
        <w:rPr>
          <w:rFonts w:ascii="Arial" w:hAnsi="Arial"/>
          <w:sz w:val="28"/>
          <w:szCs w:val="28"/>
        </w:rPr>
        <w:t xml:space="preserve">Submitted by: </w:t>
      </w:r>
      <w:r w:rsidRPr="004C05FB">
        <w:rPr>
          <w:rFonts w:ascii="Arial" w:hAnsi="Arial"/>
          <w:sz w:val="28"/>
          <w:szCs w:val="28"/>
        </w:rPr>
        <w:t>APCIC</w:t>
      </w:r>
    </w:p>
    <w:p w:rsidR="00E33213" w:rsidRPr="00442380" w:rsidRDefault="00E33213" w:rsidP="005A6EB9">
      <w:pPr>
        <w:pStyle w:val="Header"/>
        <w:tabs>
          <w:tab w:val="left" w:pos="851"/>
          <w:tab w:val="left" w:pos="6237"/>
        </w:tabs>
        <w:adjustRightInd w:val="0"/>
        <w:snapToGrid w:val="0"/>
        <w:rPr>
          <w:rFonts w:ascii="Arial" w:hAnsi="Arial" w:cs="Arial"/>
          <w:sz w:val="28"/>
          <w:szCs w:val="28"/>
        </w:rPr>
      </w:pPr>
    </w:p>
    <w:p w:rsidR="00E33213" w:rsidRPr="00442380" w:rsidRDefault="00E33213" w:rsidP="005A6EB9">
      <w:pPr>
        <w:pStyle w:val="Header"/>
        <w:tabs>
          <w:tab w:val="left" w:pos="851"/>
          <w:tab w:val="left" w:pos="6237"/>
        </w:tabs>
        <w:adjustRightInd w:val="0"/>
        <w:snapToGrid w:val="0"/>
        <w:rPr>
          <w:rFonts w:ascii="Arial" w:hAnsi="Arial" w:cs="Arial"/>
          <w:sz w:val="28"/>
          <w:szCs w:val="28"/>
        </w:rPr>
      </w:pPr>
    </w:p>
    <w:p w:rsidR="00E33213" w:rsidRPr="00442380" w:rsidRDefault="00E33213" w:rsidP="005A6EB9">
      <w:pPr>
        <w:pStyle w:val="Header"/>
        <w:tabs>
          <w:tab w:val="left" w:pos="851"/>
          <w:tab w:val="left" w:pos="6237"/>
        </w:tabs>
        <w:adjustRightInd w:val="0"/>
        <w:snapToGrid w:val="0"/>
        <w:rPr>
          <w:rFonts w:ascii="Arial" w:hAnsi="Arial" w:cs="Arial"/>
          <w:sz w:val="28"/>
          <w:szCs w:val="28"/>
        </w:rPr>
      </w:pPr>
    </w:p>
    <w:p w:rsidR="00E33213" w:rsidRDefault="00E33213" w:rsidP="005A6EB9">
      <w:pPr>
        <w:pStyle w:val="Header"/>
        <w:tabs>
          <w:tab w:val="left" w:pos="851"/>
          <w:tab w:val="left" w:pos="6237"/>
        </w:tabs>
        <w:adjustRightInd w:val="0"/>
        <w:snapToGrid w:val="0"/>
        <w:rPr>
          <w:rFonts w:ascii="Arial" w:hAnsi="Arial" w:cs="Arial"/>
          <w:sz w:val="6"/>
          <w:szCs w:val="6"/>
        </w:rPr>
      </w:pPr>
    </w:p>
    <w:p w:rsidR="00E33213" w:rsidRDefault="00E33213" w:rsidP="005A6EB9">
      <w:pPr>
        <w:pStyle w:val="Header"/>
        <w:tabs>
          <w:tab w:val="left" w:pos="851"/>
          <w:tab w:val="left" w:pos="6237"/>
        </w:tabs>
        <w:adjustRightInd w:val="0"/>
        <w:snapToGrid w:val="0"/>
        <w:rPr>
          <w:rFonts w:ascii="Arial" w:hAnsi="Arial" w:cs="Arial"/>
          <w:sz w:val="6"/>
          <w:szCs w:val="6"/>
        </w:rPr>
      </w:pPr>
    </w:p>
    <w:p w:rsidR="00E33213" w:rsidRDefault="00E33213" w:rsidP="005A6EB9">
      <w:pPr>
        <w:pStyle w:val="Header"/>
        <w:tabs>
          <w:tab w:val="left" w:pos="851"/>
          <w:tab w:val="left" w:pos="6237"/>
        </w:tabs>
        <w:adjustRightInd w:val="0"/>
        <w:snapToGrid w:val="0"/>
        <w:rPr>
          <w:rFonts w:ascii="Arial" w:hAnsi="Arial" w:cs="Arial"/>
          <w:sz w:val="6"/>
          <w:szCs w:val="6"/>
        </w:rPr>
      </w:pPr>
    </w:p>
    <w:p w:rsidR="00E33213" w:rsidRDefault="00E33213" w:rsidP="005A6EB9">
      <w:pPr>
        <w:pStyle w:val="Header"/>
        <w:tabs>
          <w:tab w:val="left" w:pos="851"/>
          <w:tab w:val="left" w:pos="6237"/>
        </w:tabs>
        <w:adjustRightInd w:val="0"/>
        <w:snapToGrid w:val="0"/>
        <w:rPr>
          <w:rFonts w:ascii="Arial" w:hAnsi="Arial" w:cs="Arial"/>
          <w:sz w:val="6"/>
          <w:szCs w:val="6"/>
        </w:rPr>
      </w:pPr>
    </w:p>
    <w:p w:rsidR="00E33213" w:rsidRDefault="00E33213" w:rsidP="005A6EB9">
      <w:pPr>
        <w:pStyle w:val="Header"/>
        <w:tabs>
          <w:tab w:val="left" w:pos="851"/>
          <w:tab w:val="left" w:pos="6237"/>
        </w:tabs>
        <w:adjustRightInd w:val="0"/>
        <w:snapToGrid w:val="0"/>
        <w:rPr>
          <w:rFonts w:ascii="Arial" w:hAnsi="Arial" w:cs="Arial"/>
          <w:sz w:val="6"/>
          <w:szCs w:val="6"/>
        </w:rPr>
      </w:pPr>
    </w:p>
    <w:tbl>
      <w:tblPr>
        <w:tblW w:w="0" w:type="auto"/>
        <w:jc w:val="center"/>
        <w:tblLayout w:type="fixed"/>
        <w:tblLook w:val="0000"/>
      </w:tblPr>
      <w:tblGrid>
        <w:gridCol w:w="1966"/>
        <w:gridCol w:w="7034"/>
      </w:tblGrid>
      <w:tr w:rsidR="00E33213" w:rsidRPr="00585656" w:rsidTr="00744454">
        <w:trPr>
          <w:trHeight w:val="2115"/>
          <w:jc w:val="center"/>
        </w:trPr>
        <w:tc>
          <w:tcPr>
            <w:tcW w:w="1966" w:type="dxa"/>
            <w:vAlign w:val="center"/>
          </w:tcPr>
          <w:p w:rsidR="00E33213" w:rsidRPr="00585656" w:rsidRDefault="00E33213" w:rsidP="00744454">
            <w:pPr>
              <w:pStyle w:val="Header"/>
              <w:tabs>
                <w:tab w:val="left" w:pos="851"/>
                <w:tab w:val="left" w:pos="6237"/>
              </w:tabs>
              <w:adjustRightInd w:val="0"/>
              <w:snapToGrid w:val="0"/>
              <w:jc w:val="center"/>
              <w:rPr>
                <w:lang w:val="en-GB"/>
              </w:rPr>
            </w:pPr>
            <w:r w:rsidRPr="00585656">
              <w:rPr>
                <w:noProof/>
                <w:lang w:eastAsia="zh-CN"/>
              </w:rPr>
              <w:pict>
                <v:shape id="_x0000_i1028" type="#_x0000_t75" alt="APEC PH Logo_vertical_color" style="width:84pt;height:107.25pt;visibility:visible">
                  <v:imagedata r:id="rId10" o:title=""/>
                </v:shape>
              </w:pict>
            </w:r>
          </w:p>
          <w:p w:rsidR="00E33213" w:rsidRPr="00585656" w:rsidRDefault="00E33213" w:rsidP="00744454">
            <w:pPr>
              <w:pStyle w:val="Header"/>
              <w:tabs>
                <w:tab w:val="left" w:pos="851"/>
                <w:tab w:val="left" w:pos="6237"/>
              </w:tabs>
              <w:adjustRightInd w:val="0"/>
              <w:snapToGrid w:val="0"/>
              <w:jc w:val="center"/>
              <w:rPr>
                <w:lang w:val="en-GB"/>
              </w:rPr>
            </w:pPr>
          </w:p>
        </w:tc>
        <w:tc>
          <w:tcPr>
            <w:tcW w:w="7034" w:type="dxa"/>
            <w:vAlign w:val="center"/>
          </w:tcPr>
          <w:p w:rsidR="00E33213" w:rsidRPr="00585656" w:rsidRDefault="00E33213" w:rsidP="00744454">
            <w:pPr>
              <w:pStyle w:val="Header"/>
              <w:tabs>
                <w:tab w:val="left" w:pos="851"/>
                <w:tab w:val="left" w:pos="6237"/>
              </w:tabs>
              <w:adjustRightInd w:val="0"/>
              <w:snapToGrid w:val="0"/>
              <w:jc w:val="right"/>
              <w:rPr>
                <w:rFonts w:ascii="Arial" w:eastAsia="??" w:hAnsi="Arial" w:cs="Arial"/>
                <w:b w:val="0"/>
                <w:bCs/>
                <w:color w:val="000000"/>
                <w:sz w:val="28"/>
                <w:szCs w:val="28"/>
                <w:lang w:val="en-GB"/>
              </w:rPr>
            </w:pPr>
            <w:r w:rsidRPr="00585656">
              <w:rPr>
                <w:rFonts w:ascii="Arial" w:eastAsia="??" w:hAnsi="Arial" w:cs="Arial"/>
                <w:b w:val="0"/>
                <w:bCs/>
                <w:color w:val="000000"/>
                <w:sz w:val="28"/>
                <w:szCs w:val="28"/>
                <w:lang w:val="en-GB"/>
              </w:rPr>
              <w:t>15</w:t>
            </w:r>
            <w:r w:rsidRPr="00585656">
              <w:rPr>
                <w:rFonts w:ascii="Arial" w:eastAsia="??" w:hAnsi="Arial" w:cs="Arial"/>
                <w:b w:val="0"/>
                <w:bCs/>
                <w:color w:val="000000"/>
                <w:sz w:val="28"/>
                <w:szCs w:val="28"/>
                <w:vertAlign w:val="superscript"/>
                <w:lang w:val="en-GB"/>
              </w:rPr>
              <w:t>th</w:t>
            </w:r>
            <w:r w:rsidRPr="00585656">
              <w:rPr>
                <w:rFonts w:ascii="Arial" w:eastAsia="??" w:hAnsi="Arial" w:cs="Arial"/>
                <w:b w:val="0"/>
                <w:bCs/>
                <w:color w:val="000000"/>
                <w:sz w:val="28"/>
                <w:szCs w:val="28"/>
                <w:lang w:val="en-GB"/>
              </w:rPr>
              <w:t xml:space="preserve"> Chemical Dialogue</w:t>
            </w:r>
          </w:p>
          <w:p w:rsidR="00E33213" w:rsidRPr="00585656" w:rsidRDefault="00E33213" w:rsidP="00744454">
            <w:pPr>
              <w:pStyle w:val="Header"/>
              <w:tabs>
                <w:tab w:val="left" w:pos="851"/>
                <w:tab w:val="left" w:pos="6237"/>
              </w:tabs>
              <w:adjustRightInd w:val="0"/>
              <w:snapToGrid w:val="0"/>
              <w:jc w:val="right"/>
              <w:rPr>
                <w:rFonts w:ascii="Arial" w:eastAsia="??" w:hAnsi="Arial" w:cs="Arial"/>
                <w:b w:val="0"/>
                <w:color w:val="000000"/>
                <w:sz w:val="28"/>
                <w:szCs w:val="28"/>
                <w:lang w:val="en-GB"/>
              </w:rPr>
            </w:pPr>
            <w:r w:rsidRPr="00585656">
              <w:rPr>
                <w:rFonts w:ascii="Arial" w:eastAsia="??" w:hAnsi="Arial" w:cs="Arial"/>
                <w:b w:val="0"/>
                <w:color w:val="000000"/>
                <w:sz w:val="28"/>
                <w:szCs w:val="28"/>
                <w:lang w:val="en-GB"/>
              </w:rPr>
              <w:t>Cebu, Philippines</w:t>
            </w:r>
          </w:p>
          <w:p w:rsidR="00E33213" w:rsidRPr="00585656" w:rsidRDefault="00E33213" w:rsidP="00744454">
            <w:pPr>
              <w:pStyle w:val="Header"/>
              <w:tabs>
                <w:tab w:val="left" w:pos="851"/>
                <w:tab w:val="left" w:pos="6237"/>
              </w:tabs>
              <w:adjustRightInd w:val="0"/>
              <w:snapToGrid w:val="0"/>
              <w:jc w:val="right"/>
              <w:rPr>
                <w:rFonts w:ascii="Arial" w:eastAsia="??" w:hAnsi="Arial" w:cs="Arial"/>
                <w:b w:val="0"/>
                <w:color w:val="000000"/>
                <w:sz w:val="28"/>
                <w:szCs w:val="28"/>
                <w:lang w:val="en-GB"/>
              </w:rPr>
            </w:pPr>
            <w:r w:rsidRPr="00585656">
              <w:rPr>
                <w:rFonts w:ascii="Arial" w:eastAsia="??" w:hAnsi="Arial" w:cs="Arial"/>
                <w:b w:val="0"/>
                <w:color w:val="000000"/>
                <w:sz w:val="28"/>
                <w:szCs w:val="28"/>
                <w:lang w:val="en-GB"/>
              </w:rPr>
              <w:t>27 August 2015</w:t>
            </w:r>
          </w:p>
          <w:p w:rsidR="00E33213" w:rsidRPr="00585656" w:rsidRDefault="00E33213" w:rsidP="00744454">
            <w:pPr>
              <w:pStyle w:val="Header"/>
              <w:tabs>
                <w:tab w:val="left" w:pos="851"/>
                <w:tab w:val="left" w:pos="6237"/>
              </w:tabs>
              <w:adjustRightInd w:val="0"/>
              <w:snapToGrid w:val="0"/>
              <w:jc w:val="right"/>
              <w:rPr>
                <w:rFonts w:ascii="Arial" w:eastAsia="??" w:hAnsi="Arial" w:cs="Arial"/>
                <w:b w:val="0"/>
                <w:color w:val="000000"/>
                <w:sz w:val="28"/>
                <w:szCs w:val="28"/>
                <w:lang w:val="en-GB"/>
              </w:rPr>
            </w:pPr>
          </w:p>
          <w:p w:rsidR="00E33213" w:rsidRPr="00585656" w:rsidRDefault="00E33213" w:rsidP="00744454">
            <w:pPr>
              <w:pStyle w:val="Header"/>
              <w:tabs>
                <w:tab w:val="left" w:pos="851"/>
                <w:tab w:val="left" w:pos="6237"/>
              </w:tabs>
              <w:adjustRightInd w:val="0"/>
              <w:snapToGrid w:val="0"/>
              <w:jc w:val="right"/>
              <w:rPr>
                <w:rFonts w:ascii="Arial" w:eastAsia="??" w:hAnsi="Arial" w:cs="Arial"/>
                <w:b w:val="0"/>
                <w:color w:val="000000"/>
                <w:sz w:val="28"/>
                <w:szCs w:val="28"/>
                <w:lang w:val="en-GB"/>
              </w:rPr>
            </w:pPr>
          </w:p>
          <w:p w:rsidR="00E33213" w:rsidRPr="00585656" w:rsidRDefault="00E33213" w:rsidP="00744454">
            <w:pPr>
              <w:pStyle w:val="Header"/>
              <w:tabs>
                <w:tab w:val="left" w:pos="851"/>
                <w:tab w:val="left" w:pos="6237"/>
              </w:tabs>
              <w:adjustRightInd w:val="0"/>
              <w:snapToGrid w:val="0"/>
              <w:jc w:val="right"/>
              <w:rPr>
                <w:rFonts w:ascii="Arial" w:eastAsia="??" w:hAnsi="Arial" w:cs="Arial"/>
                <w:b w:val="0"/>
                <w:color w:val="000000"/>
                <w:sz w:val="28"/>
                <w:szCs w:val="28"/>
                <w:lang w:val="en-GB"/>
              </w:rPr>
            </w:pPr>
          </w:p>
        </w:tc>
      </w:tr>
    </w:tbl>
    <w:p w:rsidR="00E33213" w:rsidRDefault="00E33213" w:rsidP="005A6EB9">
      <w:pPr>
        <w:adjustRightInd w:val="0"/>
        <w:snapToGrid w:val="0"/>
        <w:rPr>
          <w:sz w:val="6"/>
          <w:szCs w:val="6"/>
        </w:rPr>
      </w:pPr>
    </w:p>
    <w:p w:rsidR="00E33213" w:rsidRPr="006F7E6E" w:rsidRDefault="00E33213" w:rsidP="005A6EB9">
      <w:pPr>
        <w:jc w:val="center"/>
      </w:pPr>
      <w:r>
        <w:rPr>
          <w:b/>
        </w:rPr>
        <w:br w:type="page"/>
      </w:r>
      <w:r w:rsidRPr="006F7E6E">
        <w:rPr>
          <w:b/>
        </w:rPr>
        <w:t>The APEC Chemical Dialogue: A Regional Contribution to SAICM Implementation</w:t>
      </w:r>
    </w:p>
    <w:p w:rsidR="00E33213" w:rsidRPr="006F7E6E" w:rsidRDefault="00E33213" w:rsidP="005A6EB9">
      <w:pPr>
        <w:jc w:val="center"/>
      </w:pPr>
    </w:p>
    <w:p w:rsidR="00E33213" w:rsidRPr="006F7E6E" w:rsidRDefault="00E33213" w:rsidP="005A6EB9">
      <w:r w:rsidRPr="006F7E6E">
        <w:rPr>
          <w:u w:val="single"/>
        </w:rPr>
        <w:t>Background</w:t>
      </w:r>
    </w:p>
    <w:p w:rsidR="00E33213" w:rsidRPr="00CA5910" w:rsidRDefault="00E33213" w:rsidP="005A6EB9">
      <w:r w:rsidRPr="00CA5910">
        <w:t>The Asia-Pacific Economic Cooperation (APEC) is a regional forum that promotes regional economic integration among its 21 member economies.</w:t>
      </w:r>
      <w:r w:rsidRPr="006F7E6E">
        <w:rPr>
          <w:vertAlign w:val="superscript"/>
        </w:rPr>
        <w:footnoteReference w:id="2"/>
      </w:r>
      <w:r w:rsidRPr="00CA5910">
        <w:t xml:space="preserve">  APEC’s members account for approximately 40% of the world’s population, around 54% of global GDP, and about 44% of world trade.  APEC operates on the basis of non-binding commitments, open dialogue, and equal respect for the views of all participants.  Decisions made within APEC are reached by consensus and commitments are undertaken on a voluntary basis.  APEC meets throughout any one year at the senior officials’ level, and annually at Ministerial and Leaders level.  Further information on APEC can be found at </w:t>
      </w:r>
      <w:hyperlink r:id="rId11" w:history="1">
        <w:r w:rsidRPr="00CA5910">
          <w:rPr>
            <w:color w:val="0000FF"/>
            <w:u w:val="single"/>
          </w:rPr>
          <w:t>www.apec.org</w:t>
        </w:r>
      </w:hyperlink>
      <w:r w:rsidRPr="00CA5910">
        <w:t>.</w:t>
      </w:r>
    </w:p>
    <w:p w:rsidR="00E33213" w:rsidRPr="00CA5910" w:rsidRDefault="00E33213" w:rsidP="005A6EB9">
      <w:r w:rsidRPr="00CA5910">
        <w:t>APEC has established a number of groups to promote its objective of facilitating economic growth, cooperation, trade and investment in the Asia-Pacific region in different sectors.  Under its Committee on Trade and Industry, APEC established a Chemical Dialogue in 2002.  The Dialogue serves as a forum for government officials and industry representatives to find solutions to challenges facing the chemical industry and users of chemicals in the Asia-Pacific region.  It reflects recognition among APEC member economies of the importance of engaging with the private sector and building public-private sector dialogue and cooperation for mutual benefit.</w:t>
      </w:r>
    </w:p>
    <w:p w:rsidR="00E33213" w:rsidRPr="00CA5910" w:rsidRDefault="00E33213" w:rsidP="005A6EB9">
      <w:r w:rsidRPr="00CA5910">
        <w:t>Issues addressed by the Chemical Dialogue include trade liberalization and facilitation in the chemical sector, capacity building, and improving regulatory policies and business practices to promote regional integration while ensuring health, safety and environmental protection.  The work of the Chemical Dialogue reflects broader APEC strategic objectives, such as strengthening regional economic integration and expanding trade; promoting green growth; expanding regulatory cooperation and advancing regulatory convergence.</w:t>
      </w:r>
    </w:p>
    <w:p w:rsidR="00E33213" w:rsidRPr="00CA5910" w:rsidRDefault="00E33213" w:rsidP="005A6EB9"/>
    <w:p w:rsidR="00E33213" w:rsidRPr="00CA5910" w:rsidRDefault="00E33213" w:rsidP="005A6EB9">
      <w:r w:rsidRPr="00CA5910">
        <w:rPr>
          <w:u w:val="single"/>
        </w:rPr>
        <w:t>Strategic Framework for Chemicals in the Asia-Pacific Region</w:t>
      </w:r>
    </w:p>
    <w:p w:rsidR="00E33213" w:rsidRPr="00CA5910" w:rsidRDefault="00E33213" w:rsidP="005A6EB9">
      <w:r w:rsidRPr="00CA5910">
        <w:t>In 2009, the Chemical Dialogue made a submission to ICCM-2 outlining its work on Principles for Best Practices for Chemical Regulation and on efforts to promote clarity and consistency in the implementation of the Globally Harmonized System for Classification and Labeling of Chemicals (GHS).</w:t>
      </w:r>
      <w:r w:rsidRPr="006F7E6E">
        <w:rPr>
          <w:vertAlign w:val="superscript"/>
        </w:rPr>
        <w:footnoteReference w:id="3"/>
      </w:r>
      <w:r w:rsidRPr="00CA5910">
        <w:t xml:space="preserve">  In 2012, the Chemical Dialogue provided an update to ICCM-3 on progress in addressing SAICM’s five core objectives as a regional contribution to SAICM implementation.</w:t>
      </w:r>
      <w:r w:rsidRPr="006F7E6E">
        <w:rPr>
          <w:vertAlign w:val="superscript"/>
        </w:rPr>
        <w:footnoteReference w:id="4"/>
      </w:r>
      <w:r w:rsidRPr="00CA5910">
        <w:t xml:space="preserve">  The ICCM-3 submission highlighted the Chemical Dialogue’s adoption of a Strategic Framework for Chemicals in the Asia-Pacific Region.  The Strategic Framework sets out five overarching objectives for the Chemical Dialogue’s work:</w:t>
      </w:r>
    </w:p>
    <w:p w:rsidR="00E33213" w:rsidRPr="00CA5910" w:rsidRDefault="00E33213" w:rsidP="00744454">
      <w:pPr>
        <w:numPr>
          <w:ilvl w:val="0"/>
          <w:numId w:val="4"/>
        </w:numPr>
        <w:spacing w:before="120"/>
        <w:contextualSpacing/>
      </w:pPr>
      <w:r w:rsidRPr="00CA5910">
        <w:t>To facilitate alignment with APEC Leaders’ goals for sustainable economic growth and regulation.</w:t>
      </w:r>
    </w:p>
    <w:p w:rsidR="00E33213" w:rsidRPr="00CA5910" w:rsidRDefault="00E33213" w:rsidP="00744454">
      <w:pPr>
        <w:numPr>
          <w:ilvl w:val="0"/>
          <w:numId w:val="4"/>
        </w:numPr>
        <w:contextualSpacing/>
      </w:pPr>
      <w:r w:rsidRPr="00CA5910">
        <w:t>To promote regulatory capacity and convergence in order to facilitate trade while enhancing environmental and health protection.</w:t>
      </w:r>
    </w:p>
    <w:p w:rsidR="00E33213" w:rsidRPr="00CA5910" w:rsidRDefault="00E33213" w:rsidP="00744454">
      <w:pPr>
        <w:numPr>
          <w:ilvl w:val="0"/>
          <w:numId w:val="4"/>
        </w:numPr>
        <w:contextualSpacing/>
      </w:pPr>
      <w:r w:rsidRPr="00CA5910">
        <w:t>To enhance chemical management and product stewardship over the life cycle and in cooperation with other initiatives and institutions where appropriate, e.g. the OECD, UN, SAICM, WHO.</w:t>
      </w:r>
    </w:p>
    <w:p w:rsidR="00E33213" w:rsidRPr="00CA5910" w:rsidRDefault="00E33213" w:rsidP="00744454">
      <w:pPr>
        <w:numPr>
          <w:ilvl w:val="0"/>
          <w:numId w:val="4"/>
        </w:numPr>
        <w:contextualSpacing/>
      </w:pPr>
      <w:r w:rsidRPr="00CA5910">
        <w:t>To identify barriers to using chemicals, products and processes to achieve sustainable and innovative solutions to global problems.</w:t>
      </w:r>
    </w:p>
    <w:p w:rsidR="00E33213" w:rsidRPr="00CA5910" w:rsidRDefault="00E33213" w:rsidP="00744454">
      <w:pPr>
        <w:numPr>
          <w:ilvl w:val="0"/>
          <w:numId w:val="4"/>
        </w:numPr>
        <w:contextualSpacing/>
      </w:pPr>
      <w:r w:rsidRPr="00CA5910">
        <w:t>To strengthen the positioning of the sector globally as an enabler of technological change and innovation.</w:t>
      </w:r>
    </w:p>
    <w:p w:rsidR="00E33213" w:rsidRPr="00CA5910" w:rsidRDefault="00E33213" w:rsidP="005A6EB9"/>
    <w:p w:rsidR="00E33213" w:rsidRPr="00CA5910" w:rsidRDefault="00E33213" w:rsidP="005A6EB9">
      <w:r w:rsidRPr="00CA5910">
        <w:t>To achieve these objectives, the Strategic Framework identifies three shared goals around which the work of the Chemical Dialogue will be organized:</w:t>
      </w:r>
    </w:p>
    <w:p w:rsidR="00E33213" w:rsidRPr="00CA5910" w:rsidRDefault="00E33213" w:rsidP="00744454">
      <w:pPr>
        <w:numPr>
          <w:ilvl w:val="0"/>
          <w:numId w:val="5"/>
        </w:numPr>
        <w:spacing w:before="120"/>
        <w:contextualSpacing/>
      </w:pPr>
      <w:r w:rsidRPr="00CA5910">
        <w:t>Shared Goal 1: Expand and support cooperation and mutual recognition among chemical regulators in the Asia-Pacific Region.</w:t>
      </w:r>
    </w:p>
    <w:p w:rsidR="00E33213" w:rsidRPr="00CA5910" w:rsidRDefault="00E33213" w:rsidP="00744454">
      <w:pPr>
        <w:numPr>
          <w:ilvl w:val="0"/>
          <w:numId w:val="5"/>
        </w:numPr>
        <w:spacing w:before="120"/>
        <w:contextualSpacing/>
      </w:pPr>
      <w:r w:rsidRPr="00CA5910">
        <w:t>Shared Goal 2: Enhance understanding of the chemical industry’s role as an innovative solutions industry.</w:t>
      </w:r>
    </w:p>
    <w:p w:rsidR="00E33213" w:rsidRPr="00CA5910" w:rsidRDefault="00E33213" w:rsidP="00744454">
      <w:pPr>
        <w:numPr>
          <w:ilvl w:val="0"/>
          <w:numId w:val="5"/>
        </w:numPr>
        <w:spacing w:before="120"/>
        <w:contextualSpacing/>
      </w:pPr>
      <w:r w:rsidRPr="00CA5910">
        <w:t>Shared Goal 3: Encourage chemical product stewardship, safe use, and sustainability.</w:t>
      </w:r>
    </w:p>
    <w:p w:rsidR="00E33213" w:rsidRPr="00CA5910" w:rsidRDefault="00E33213" w:rsidP="005A6EB9"/>
    <w:p w:rsidR="00E33213" w:rsidRPr="00CA5910" w:rsidRDefault="00E33213" w:rsidP="005A6EB9">
      <w:r w:rsidRPr="00CA5910">
        <w:t>The Strategic Framework is a living document, with an action plan that is continually updated as projects are completed and new initiatives begun.  The action plan is structured around the three shared goals listed above.  For the purposes of highlighting the work of the Chemical Dialogue as a regional contribution to SAICM implementation since 2012, projects and initiatives listed under the action plan are listed below according to how they relate to the five SAICM core objectives.</w:t>
      </w:r>
    </w:p>
    <w:p w:rsidR="00E33213" w:rsidRPr="00CA5910" w:rsidRDefault="00E33213" w:rsidP="005A6EB9"/>
    <w:p w:rsidR="00E33213" w:rsidRPr="00CA5910" w:rsidRDefault="00E33213" w:rsidP="005A6EB9">
      <w:r w:rsidRPr="00CA5910">
        <w:rPr>
          <w:u w:val="single"/>
        </w:rPr>
        <w:t>Risk Reduction</w:t>
      </w:r>
    </w:p>
    <w:p w:rsidR="00E33213" w:rsidRPr="00CA5910" w:rsidRDefault="00E33213" w:rsidP="005A6EB9">
      <w:r w:rsidRPr="00CA5910">
        <w:t>The Chemical Dialogue has committed to the following actions and initiatives to promote risk reduction in the Asia-Pacific region:</w:t>
      </w:r>
    </w:p>
    <w:p w:rsidR="00E33213" w:rsidRPr="00CA5910" w:rsidRDefault="00E33213" w:rsidP="00744454">
      <w:pPr>
        <w:numPr>
          <w:ilvl w:val="0"/>
          <w:numId w:val="6"/>
        </w:numPr>
        <w:spacing w:before="120"/>
        <w:contextualSpacing/>
      </w:pPr>
      <w:r w:rsidRPr="00CA5910">
        <w:t>Held a workshop to promote chemical regulatory cooperation and further implementation of the APEC Best Practice Principles for Chemical Regulation (August 2014).</w:t>
      </w:r>
    </w:p>
    <w:p w:rsidR="00E33213" w:rsidRPr="00CA5910" w:rsidRDefault="00E33213" w:rsidP="00744454">
      <w:pPr>
        <w:numPr>
          <w:ilvl w:val="0"/>
          <w:numId w:val="6"/>
        </w:numPr>
        <w:spacing w:before="120"/>
        <w:contextualSpacing/>
      </w:pPr>
      <w:r w:rsidRPr="00CA5910">
        <w:t>Held a joint seminar with the APEC Economic Committee on the implementation of Good Regulatory Practices for Chemical Regulation, as a follow-up to the 2014 workshop (August 2015).</w:t>
      </w:r>
    </w:p>
    <w:p w:rsidR="00E33213" w:rsidRPr="00CA5910" w:rsidRDefault="00E33213" w:rsidP="00744454">
      <w:pPr>
        <w:numPr>
          <w:ilvl w:val="0"/>
          <w:numId w:val="6"/>
        </w:numPr>
        <w:spacing w:before="120"/>
        <w:contextualSpacing/>
      </w:pPr>
      <w:r w:rsidRPr="00CA5910">
        <w:t>Conducted (through the Chemical Dialogue Regulators Forum) a risk assessment workshop in Bangkok as a best practice/train the trainers exercise (November 2012).</w:t>
      </w:r>
    </w:p>
    <w:p w:rsidR="00E33213" w:rsidRPr="00CA5910" w:rsidRDefault="00E33213" w:rsidP="00744454">
      <w:pPr>
        <w:numPr>
          <w:ilvl w:val="0"/>
          <w:numId w:val="6"/>
        </w:numPr>
        <w:spacing w:before="120"/>
        <w:contextualSpacing/>
      </w:pPr>
      <w:r w:rsidRPr="00CA5910">
        <w:t>Established a cross-fora working group with the APEC Oceans and Fisheries Working Group to promote innovative solutions to problems posed by marine debris (July 2014).</w:t>
      </w:r>
    </w:p>
    <w:p w:rsidR="00E33213" w:rsidRPr="00CA5910" w:rsidRDefault="00E33213" w:rsidP="00744454">
      <w:pPr>
        <w:numPr>
          <w:ilvl w:val="0"/>
          <w:numId w:val="6"/>
        </w:numPr>
        <w:spacing w:before="120"/>
        <w:contextualSpacing/>
      </w:pPr>
      <w:r w:rsidRPr="00CA5910">
        <w:t xml:space="preserve">Promoted the expansion and broader usage of the GHS Reference Exchange and Tool (GREAT) web portal that serves as a clearing house to collect and provide information on GHS implementation, including translation into local languages: </w:t>
      </w:r>
      <w:hyperlink r:id="rId12" w:history="1">
        <w:r w:rsidRPr="00CA5910">
          <w:rPr>
            <w:color w:val="0000FF"/>
            <w:u w:val="single"/>
          </w:rPr>
          <w:t>http://great.cla.gov.tw/ENG/index.aspx</w:t>
        </w:r>
      </w:hyperlink>
      <w:r w:rsidRPr="00CA5910">
        <w:t xml:space="preserve">  (ongoing).</w:t>
      </w:r>
    </w:p>
    <w:p w:rsidR="00E33213" w:rsidRPr="00CA5910" w:rsidRDefault="00E33213" w:rsidP="00744454">
      <w:pPr>
        <w:numPr>
          <w:ilvl w:val="0"/>
          <w:numId w:val="6"/>
        </w:numPr>
        <w:spacing w:before="120"/>
        <w:contextualSpacing/>
      </w:pPr>
      <w:r w:rsidRPr="00CA5910">
        <w:t>Strengthened efforts, beginning in January 2015, to promote broader and more aligned implementation of GHS, and approved an action plan to move these efforts forward (ongoing).</w:t>
      </w:r>
    </w:p>
    <w:p w:rsidR="00E33213" w:rsidRPr="00CA5910" w:rsidRDefault="00E33213" w:rsidP="00744454">
      <w:pPr>
        <w:numPr>
          <w:ilvl w:val="0"/>
          <w:numId w:val="6"/>
        </w:numPr>
        <w:spacing w:before="120"/>
        <w:contextualSpacing/>
      </w:pPr>
      <w:r w:rsidRPr="00CA5910">
        <w:t>Concluded a Principles Framework for GHS and Consumer Goods for use by member economies (July 2013).</w:t>
      </w:r>
    </w:p>
    <w:p w:rsidR="00E33213" w:rsidRPr="00CA5910" w:rsidRDefault="00E33213" w:rsidP="00744454">
      <w:pPr>
        <w:numPr>
          <w:ilvl w:val="0"/>
          <w:numId w:val="6"/>
        </w:numPr>
        <w:spacing w:before="120"/>
        <w:contextualSpacing/>
      </w:pPr>
      <w:r w:rsidRPr="00CA5910">
        <w:t>Promoted global and regional chemicals management initiatives, including voluntary industry programs such as Responsible Care and the Global Product Strategy, to strengthen domestic capabilities for chemicals management (ongoing).</w:t>
      </w:r>
    </w:p>
    <w:p w:rsidR="00E33213" w:rsidRPr="00CA5910" w:rsidRDefault="00E33213" w:rsidP="00744454">
      <w:pPr>
        <w:numPr>
          <w:ilvl w:val="0"/>
          <w:numId w:val="6"/>
        </w:numPr>
        <w:spacing w:before="120"/>
        <w:contextualSpacing/>
      </w:pPr>
      <w:r w:rsidRPr="00CA5910">
        <w:t xml:space="preserve">Maintained and expanded a website to assist emergency responders in member economies in responding to transportation emergencies involving the movement of dangerous goods, particularly across borders: </w:t>
      </w:r>
      <w:hyperlink r:id="rId13" w:history="1">
        <w:r w:rsidRPr="00CA5910">
          <w:rPr>
            <w:color w:val="0000FF"/>
            <w:u w:val="single"/>
          </w:rPr>
          <w:t>http://global.chemtrec.com</w:t>
        </w:r>
      </w:hyperlink>
      <w:r w:rsidRPr="00CA5910">
        <w:t>.</w:t>
      </w:r>
    </w:p>
    <w:p w:rsidR="00E33213" w:rsidRPr="00CA5910" w:rsidRDefault="00E33213" w:rsidP="005A6EB9"/>
    <w:p w:rsidR="00E33213" w:rsidRPr="00CA5910" w:rsidRDefault="00E33213" w:rsidP="005A6EB9">
      <w:r w:rsidRPr="00CA5910">
        <w:rPr>
          <w:u w:val="single"/>
        </w:rPr>
        <w:t>Knowledge and Information</w:t>
      </w:r>
    </w:p>
    <w:p w:rsidR="00E33213" w:rsidRPr="00CA5910" w:rsidRDefault="00E33213" w:rsidP="005A6EB9">
      <w:r w:rsidRPr="00CA5910">
        <w:t>Actions and initiatives to promote the sharing of knowledge and information on chemical management issues include:</w:t>
      </w:r>
    </w:p>
    <w:p w:rsidR="00E33213" w:rsidRPr="00CA5910" w:rsidRDefault="00E33213" w:rsidP="00744454">
      <w:pPr>
        <w:numPr>
          <w:ilvl w:val="0"/>
          <w:numId w:val="8"/>
        </w:numPr>
        <w:spacing w:before="120"/>
        <w:contextualSpacing/>
      </w:pPr>
      <w:r w:rsidRPr="00CA5910">
        <w:t>Provided reports to APEC Trade Ministers on GHS implementation status from 2013-2015.</w:t>
      </w:r>
    </w:p>
    <w:p w:rsidR="00E33213" w:rsidRPr="00CA5910" w:rsidRDefault="00E33213" w:rsidP="00744454">
      <w:pPr>
        <w:numPr>
          <w:ilvl w:val="0"/>
          <w:numId w:val="8"/>
        </w:numPr>
        <w:spacing w:before="120"/>
        <w:contextualSpacing/>
      </w:pPr>
      <w:r w:rsidRPr="00CA5910">
        <w:t>Approved a Virtual Working Group on GHS Data Exchange in July 2013, and promoted interaction with the UN Subcommittee of Experts on GHS (UNSCEGHS) to share information on ongoing work (ongoing).</w:t>
      </w:r>
    </w:p>
    <w:p w:rsidR="00E33213" w:rsidRPr="00CA5910" w:rsidRDefault="00E33213" w:rsidP="00744454">
      <w:pPr>
        <w:numPr>
          <w:ilvl w:val="0"/>
          <w:numId w:val="8"/>
        </w:numPr>
        <w:spacing w:before="120"/>
        <w:contextualSpacing/>
      </w:pPr>
      <w:r w:rsidRPr="00CA5910">
        <w:t>Prepared a comparison of GHS implementation across APEC economies, and began consideration of ways that APEC can help reduce divergences (August 2015).</w:t>
      </w:r>
    </w:p>
    <w:p w:rsidR="00E33213" w:rsidRPr="00CA5910" w:rsidRDefault="00E33213" w:rsidP="00744454">
      <w:pPr>
        <w:numPr>
          <w:ilvl w:val="0"/>
          <w:numId w:val="8"/>
        </w:numPr>
        <w:spacing w:before="120"/>
        <w:contextualSpacing/>
      </w:pPr>
      <w:r w:rsidRPr="00CA5910">
        <w:t>Received case study presentations from APEC economies on their implementation of chemical regulatory cooperation initiatives at the national and sub-regional level (ongoing).</w:t>
      </w:r>
    </w:p>
    <w:p w:rsidR="00E33213" w:rsidRPr="00CA5910" w:rsidRDefault="00E33213" w:rsidP="00744454">
      <w:pPr>
        <w:numPr>
          <w:ilvl w:val="0"/>
          <w:numId w:val="8"/>
        </w:numPr>
        <w:spacing w:before="120"/>
        <w:contextualSpacing/>
      </w:pPr>
      <w:r w:rsidRPr="00CA5910">
        <w:t>Developed a glossary of regulatory terminology as a reference tool and living document (August 2014).</w:t>
      </w:r>
    </w:p>
    <w:p w:rsidR="00E33213" w:rsidRPr="00CA5910" w:rsidRDefault="00E33213" w:rsidP="005A6EB9"/>
    <w:p w:rsidR="00E33213" w:rsidRPr="00CA5910" w:rsidRDefault="00E33213" w:rsidP="005A6EB9">
      <w:r w:rsidRPr="00CA5910">
        <w:rPr>
          <w:u w:val="single"/>
        </w:rPr>
        <w:t>Governance</w:t>
      </w:r>
    </w:p>
    <w:p w:rsidR="00E33213" w:rsidRPr="00CA5910" w:rsidRDefault="00E33213" w:rsidP="005A6EB9">
      <w:r w:rsidRPr="00CA5910">
        <w:t>Projects and initiatives under the Strategic Framework related to improving governance include:</w:t>
      </w:r>
    </w:p>
    <w:p w:rsidR="00E33213" w:rsidRPr="00CA5910" w:rsidRDefault="00E33213" w:rsidP="00744454">
      <w:pPr>
        <w:numPr>
          <w:ilvl w:val="0"/>
          <w:numId w:val="7"/>
        </w:numPr>
        <w:spacing w:before="120"/>
        <w:contextualSpacing/>
      </w:pPr>
      <w:r w:rsidRPr="00CA5910">
        <w:t>Maintained an APEC Chemical Regulators Forum via annual meetings to discuss regulatory best practice (ongoing).</w:t>
      </w:r>
    </w:p>
    <w:p w:rsidR="00E33213" w:rsidRPr="00CA5910" w:rsidRDefault="00E33213" w:rsidP="00744454">
      <w:pPr>
        <w:numPr>
          <w:ilvl w:val="0"/>
          <w:numId w:val="7"/>
        </w:numPr>
        <w:spacing w:before="120"/>
        <w:contextualSpacing/>
      </w:pPr>
      <w:r w:rsidRPr="00CA5910">
        <w:t>Agreed to a Regulators Forum Action Plan to guide future work (August 2014)</w:t>
      </w:r>
    </w:p>
    <w:p w:rsidR="00E33213" w:rsidRPr="00CA5910" w:rsidRDefault="00E33213" w:rsidP="00744454">
      <w:pPr>
        <w:numPr>
          <w:ilvl w:val="0"/>
          <w:numId w:val="7"/>
        </w:numPr>
        <w:spacing w:before="120"/>
        <w:contextualSpacing/>
      </w:pPr>
      <w:r w:rsidRPr="00CA5910">
        <w:t>Established, in July 2013, a Virtual Working Group on Regulatory Cooperation and Coherence to consider opportunities for improving the business environment “behind the border” and promote enhanced regulatory cooperation on chemicals issues in the APEC region, as a contribution to broader APEC work on regulatory cooperation (ongoing).</w:t>
      </w:r>
    </w:p>
    <w:p w:rsidR="00E33213" w:rsidRPr="00CA5910" w:rsidRDefault="00E33213" w:rsidP="00744454">
      <w:pPr>
        <w:numPr>
          <w:ilvl w:val="0"/>
          <w:numId w:val="7"/>
        </w:numPr>
        <w:spacing w:before="120"/>
        <w:contextualSpacing/>
      </w:pPr>
      <w:r w:rsidRPr="00CA5910">
        <w:t>Explored opportunities for expanded collaboration with the OECD Clearing House on New Chemicals and held joint meetings in 2013 and 2014.</w:t>
      </w:r>
    </w:p>
    <w:p w:rsidR="00E33213" w:rsidRPr="00CA5910" w:rsidRDefault="00E33213" w:rsidP="005A6EB9"/>
    <w:p w:rsidR="00E33213" w:rsidRPr="00CA5910" w:rsidRDefault="00E33213" w:rsidP="005A6EB9">
      <w:pPr>
        <w:rPr>
          <w:u w:val="single"/>
        </w:rPr>
      </w:pPr>
      <w:r w:rsidRPr="00CA5910">
        <w:rPr>
          <w:u w:val="single"/>
        </w:rPr>
        <w:t>Capacity Building and Technical Assistance</w:t>
      </w:r>
    </w:p>
    <w:p w:rsidR="00E33213" w:rsidRPr="00CA5910" w:rsidRDefault="00E33213" w:rsidP="005A6EB9">
      <w:r w:rsidRPr="00CA5910">
        <w:t>Projects and initiatives related to strengthen capacity and providing technical assistance in the Asia-Pacific region include:</w:t>
      </w:r>
    </w:p>
    <w:p w:rsidR="00E33213" w:rsidRPr="00CA5910" w:rsidRDefault="00E33213" w:rsidP="00744454">
      <w:pPr>
        <w:numPr>
          <w:ilvl w:val="0"/>
          <w:numId w:val="7"/>
        </w:numPr>
        <w:spacing w:before="120"/>
        <w:contextualSpacing/>
        <w:rPr>
          <w:u w:val="single"/>
        </w:rPr>
      </w:pPr>
      <w:r w:rsidRPr="00CA5910">
        <w:t>Began consideration of proposals from APEC economies for multi-year capacity building for chemical regulators on regulatory cooperation (January 2015).</w:t>
      </w:r>
    </w:p>
    <w:p w:rsidR="00E33213" w:rsidRPr="00CA5910" w:rsidRDefault="00E33213" w:rsidP="00744454">
      <w:pPr>
        <w:numPr>
          <w:ilvl w:val="0"/>
          <w:numId w:val="7"/>
        </w:numPr>
        <w:spacing w:before="120"/>
        <w:contextualSpacing/>
        <w:rPr>
          <w:u w:val="single"/>
        </w:rPr>
      </w:pPr>
      <w:r w:rsidRPr="00CA5910">
        <w:t xml:space="preserve">Developed a smart tool reporting template to streamline GHS reporting (August 2015). </w:t>
      </w:r>
    </w:p>
    <w:p w:rsidR="00E33213" w:rsidRPr="00CA5910" w:rsidRDefault="00E33213" w:rsidP="00744454">
      <w:pPr>
        <w:numPr>
          <w:ilvl w:val="0"/>
          <w:numId w:val="7"/>
        </w:numPr>
        <w:spacing w:before="120"/>
        <w:contextualSpacing/>
      </w:pPr>
      <w:r w:rsidRPr="00CA5910">
        <w:t>Held an industry-funded workshop on intermediate to advanced capacity building for risk assessment of metals and metal compounds (August 2015).</w:t>
      </w:r>
    </w:p>
    <w:p w:rsidR="00E33213" w:rsidRPr="00CA5910" w:rsidRDefault="00E33213" w:rsidP="00744454">
      <w:pPr>
        <w:numPr>
          <w:ilvl w:val="0"/>
          <w:numId w:val="7"/>
        </w:numPr>
        <w:spacing w:before="120"/>
        <w:contextualSpacing/>
        <w:rPr>
          <w:u w:val="single"/>
        </w:rPr>
      </w:pPr>
      <w:r w:rsidRPr="00CA5910">
        <w:t>Held an awareness-raising on the importance of comprehensive land-based waste management for reducing marine debris, and the available innovative solutions (August 2015).</w:t>
      </w:r>
    </w:p>
    <w:p w:rsidR="00E33213" w:rsidRPr="00CA5910" w:rsidRDefault="00E33213" w:rsidP="00744454">
      <w:pPr>
        <w:numPr>
          <w:ilvl w:val="0"/>
          <w:numId w:val="7"/>
        </w:numPr>
        <w:spacing w:before="120"/>
        <w:contextualSpacing/>
      </w:pPr>
      <w:r w:rsidRPr="00CA5910">
        <w:t>Developed a self-funded proposal for developing a coordinated approach to waste management at two beta sites within the APEC region to demonstrate the feasibility of reducing waste emissions into the ocean (ongoing).</w:t>
      </w:r>
    </w:p>
    <w:p w:rsidR="00E33213" w:rsidRPr="00CA5910" w:rsidRDefault="00E33213" w:rsidP="00744454">
      <w:pPr>
        <w:numPr>
          <w:ilvl w:val="0"/>
          <w:numId w:val="7"/>
        </w:numPr>
        <w:spacing w:before="120"/>
        <w:contextualSpacing/>
      </w:pPr>
      <w:r w:rsidRPr="00CA5910">
        <w:t>Shared information and promoted continued implementation of the Joint Article Management Program (“JAMP”) and the Supply Chain Risk management and Useful Mechanism (“SCRUM”) for sharing chemical risk management information through the supply chain (ongoing).</w:t>
      </w:r>
    </w:p>
    <w:p w:rsidR="00E33213" w:rsidRPr="00CA5910" w:rsidRDefault="00E33213" w:rsidP="005A6EB9">
      <w:pPr>
        <w:rPr>
          <w:u w:val="single"/>
        </w:rPr>
      </w:pPr>
    </w:p>
    <w:p w:rsidR="00E33213" w:rsidRPr="00CA5910" w:rsidRDefault="00E33213" w:rsidP="005A6EB9">
      <w:pPr>
        <w:rPr>
          <w:u w:val="single"/>
        </w:rPr>
      </w:pPr>
    </w:p>
    <w:p w:rsidR="00E33213" w:rsidRPr="00CA5910" w:rsidRDefault="00E33213" w:rsidP="005A6EB9">
      <w:pPr>
        <w:rPr>
          <w:u w:val="single"/>
        </w:rPr>
      </w:pPr>
    </w:p>
    <w:p w:rsidR="00E33213" w:rsidRPr="00CA5910" w:rsidRDefault="00E33213" w:rsidP="005A6EB9">
      <w:r w:rsidRPr="00CA5910">
        <w:rPr>
          <w:u w:val="single"/>
        </w:rPr>
        <w:t>Illegal International Traffic</w:t>
      </w:r>
    </w:p>
    <w:p w:rsidR="00E33213" w:rsidRPr="00CA5910" w:rsidRDefault="00E33213" w:rsidP="005A6EB9">
      <w:r w:rsidRPr="00CA5910">
        <w:t>The Chemical Dialogue encourages broader activities within APEC to promote rules based international trade and prevention of illegal shipments in chemicals.</w:t>
      </w:r>
    </w:p>
    <w:p w:rsidR="00E33213" w:rsidRPr="00CA5910" w:rsidRDefault="00E33213" w:rsidP="005A6EB9"/>
    <w:p w:rsidR="00E33213" w:rsidRPr="00CA5910" w:rsidRDefault="00E33213" w:rsidP="005A6EB9">
      <w:r w:rsidRPr="00CA5910">
        <w:rPr>
          <w:u w:val="single"/>
        </w:rPr>
        <w:t>Conclusion</w:t>
      </w:r>
    </w:p>
    <w:p w:rsidR="00E33213" w:rsidRPr="00CA5910" w:rsidRDefault="00E33213" w:rsidP="005A6EB9">
      <w:r w:rsidRPr="00CA5910">
        <w:t>Since its submission to ICCM-3 in 2012, the APEC Chemical Dialogue has made considerable progress in developing projects and initiatives that both promote the objectives of the Dialogue and serve as a regional contribution to SAICM implementation.  One of the key lessons from these projects and initiatives is the importance of SAICM implementation at the national level in promoting sound chemicals management.  Regional forums such as APEC can help to provide support and coordination for these national efforts, including through efforts to promote regulatory cooperation.  Looking ahead, the Chemical Dialogue will continue to develop new and existing initiatives under the Strategic Framework to address current and emerging challenges in the region, and respond to the priorities set by APEC Leaders.</w:t>
      </w:r>
    </w:p>
    <w:p w:rsidR="00E33213" w:rsidRPr="00CA5910" w:rsidRDefault="00E33213" w:rsidP="005A6EB9"/>
    <w:p w:rsidR="00E33213" w:rsidRPr="00E1785A" w:rsidRDefault="00E33213" w:rsidP="005A6EB9">
      <w:pPr>
        <w:pStyle w:val="Normal-pool"/>
        <w:jc w:val="center"/>
      </w:pPr>
      <w:r>
        <w:t>__________________________</w:t>
      </w:r>
    </w:p>
    <w:sectPr w:rsidR="00E33213" w:rsidRPr="00E1785A" w:rsidSect="00934AA1">
      <w:headerReference w:type="even" r:id="rId14"/>
      <w:headerReference w:type="default" r:id="rId15"/>
      <w:footerReference w:type="even" r:id="rId16"/>
      <w:footerReference w:type="default" r:id="rId17"/>
      <w:headerReference w:type="first" r:id="rId18"/>
      <w:footerReference w:type="first" r:id="rId19"/>
      <w:pgSz w:w="11906" w:h="16838" w:code="9"/>
      <w:pgMar w:top="907" w:right="992" w:bottom="1418" w:left="1418" w:header="539" w:footer="975" w:gutter="0"/>
      <w:cols w:space="53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3213" w:rsidRDefault="00E33213">
      <w:r>
        <w:separator/>
      </w:r>
    </w:p>
  </w:endnote>
  <w:endnote w:type="continuationSeparator" w:id="0">
    <w:p w:rsidR="00E33213" w:rsidRDefault="00E3321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
    <w:panose1 w:val="02010600030101010101"/>
    <w:charset w:val="86"/>
    <w:family w:val="auto"/>
    <w:pitch w:val="variable"/>
    <w:sig w:usb0="00000003" w:usb1="080E0000" w:usb2="00000010" w:usb3="00000000" w:csb0="00040001" w:csb1="00000000"/>
  </w:font>
  <w:font w:name="Univer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S Mincho">
    <w:altName w:val="?l?r ??fc"/>
    <w:panose1 w:val="02020609040205080304"/>
    <w:charset w:val="80"/>
    <w:family w:val="modern"/>
    <w:pitch w:val="fixed"/>
    <w:sig w:usb0="A00002BF" w:usb1="68C7FCFB" w:usb2="00000010" w:usb3="00000000" w:csb0="0002009F" w:csb1="00000000"/>
  </w:font>
  <w:font w:name="??">
    <w:altName w:val="MS Mincho"/>
    <w:panose1 w:val="00000000000000000000"/>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213" w:rsidRDefault="00E33213">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213" w:rsidRPr="00EE758A" w:rsidRDefault="00E33213" w:rsidP="00EE758A">
    <w:pPr>
      <w:pStyle w:val="Footer"/>
      <w:jc w:val="right"/>
      <w:rPr>
        <w:b/>
      </w:rPr>
    </w:pPr>
    <w:r w:rsidRPr="00EE758A">
      <w:rPr>
        <w:b/>
      </w:rPr>
      <w:fldChar w:fldCharType="begin"/>
    </w:r>
    <w:r w:rsidRPr="00EE758A">
      <w:rPr>
        <w:b/>
      </w:rPr>
      <w:instrText xml:space="preserve"> PAGE   \* MERGEFORMAT </w:instrText>
    </w:r>
    <w:r w:rsidRPr="00EE758A">
      <w:rPr>
        <w:b/>
      </w:rPr>
      <w:fldChar w:fldCharType="separate"/>
    </w:r>
    <w:r>
      <w:rPr>
        <w:b/>
        <w:noProof/>
      </w:rPr>
      <w:t>5</w:t>
    </w:r>
    <w:r w:rsidRPr="00EE758A">
      <w:rPr>
        <w:b/>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213" w:rsidRPr="00CA5910" w:rsidRDefault="00E33213">
    <w:pPr>
      <w:pStyle w:val="Footer"/>
      <w:rPr>
        <w:lang w:val="en-US"/>
      </w:rPr>
    </w:pPr>
    <w:r>
      <w:rPr>
        <w:lang w:val="en-US"/>
      </w:rPr>
      <w:t>K1502923</w:t>
    </w:r>
    <w:r>
      <w:rPr>
        <w:lang w:val="en-US"/>
      </w:rPr>
      <w:tab/>
      <w:t>280915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3213" w:rsidRPr="00E1785A" w:rsidRDefault="00E33213" w:rsidP="00E1785A">
      <w:pPr>
        <w:spacing w:after="120"/>
        <w:ind w:left="624"/>
        <w:rPr>
          <w:sz w:val="20"/>
          <w:szCs w:val="20"/>
        </w:rPr>
      </w:pPr>
      <w:r w:rsidRPr="00E1785A">
        <w:rPr>
          <w:sz w:val="20"/>
          <w:szCs w:val="20"/>
        </w:rPr>
        <w:separator/>
      </w:r>
    </w:p>
  </w:footnote>
  <w:footnote w:type="continuationSeparator" w:id="0">
    <w:p w:rsidR="00E33213" w:rsidRDefault="00E33213">
      <w:r>
        <w:continuationSeparator/>
      </w:r>
    </w:p>
  </w:footnote>
  <w:footnote w:id="1">
    <w:p w:rsidR="00E33213" w:rsidRDefault="00E33213" w:rsidP="00E1785A">
      <w:pPr>
        <w:pStyle w:val="FootnoteText"/>
        <w:tabs>
          <w:tab w:val="left" w:pos="624"/>
        </w:tabs>
      </w:pPr>
      <w:r w:rsidRPr="00DD6867">
        <w:rPr>
          <w:rStyle w:val="FootnoteReference"/>
          <w:szCs w:val="18"/>
          <w:vertAlign w:val="baseline"/>
        </w:rPr>
        <w:sym w:font="Symbol" w:char="F02A"/>
      </w:r>
      <w:r>
        <w:t xml:space="preserve"> </w:t>
      </w:r>
      <w:r w:rsidRPr="00514965">
        <w:rPr>
          <w:szCs w:val="18"/>
        </w:rPr>
        <w:t>SAICM/ICCM.</w:t>
      </w:r>
      <w:r>
        <w:rPr>
          <w:szCs w:val="18"/>
        </w:rPr>
        <w:t>4</w:t>
      </w:r>
      <w:r w:rsidRPr="00514965">
        <w:rPr>
          <w:szCs w:val="18"/>
        </w:rPr>
        <w:t>/1</w:t>
      </w:r>
      <w:r>
        <w:rPr>
          <w:szCs w:val="18"/>
        </w:rPr>
        <w:t>.</w:t>
      </w:r>
    </w:p>
  </w:footnote>
  <w:footnote w:id="2">
    <w:p w:rsidR="00E33213" w:rsidRDefault="00E33213" w:rsidP="005A6EB9">
      <w:pPr>
        <w:pStyle w:val="FootnoteText"/>
      </w:pPr>
      <w:r w:rsidRPr="007B02D8">
        <w:rPr>
          <w:rStyle w:val="FootnoteReference"/>
          <w:sz w:val="20"/>
          <w:szCs w:val="18"/>
        </w:rPr>
        <w:footnoteRef/>
      </w:r>
      <w:r w:rsidRPr="007B02D8">
        <w:t xml:space="preserve"> APEC’s 21 member economies are </w:t>
      </w:r>
      <w:r w:rsidRPr="007B02D8">
        <w:rPr>
          <w:lang/>
        </w:rPr>
        <w:t>Australia; Brunei Da</w:t>
      </w:r>
      <w:r>
        <w:rPr>
          <w:lang/>
        </w:rPr>
        <w:t>russalam; Canada; Chile; People’</w:t>
      </w:r>
      <w:r w:rsidRPr="007B02D8">
        <w:rPr>
          <w:lang/>
        </w:rPr>
        <w:t>s Republic of China; Hong Kong, China; Indonesia; Japan; Republic of Korea; Malaysia; Mexico; New Zealand; Papua New Guinea; Peru; The Republic of the Philippines; The Russian Federation; Singapore; Chinese Taipei; Thailand; United States of America; Viet Nam.</w:t>
      </w:r>
    </w:p>
  </w:footnote>
  <w:footnote w:id="3">
    <w:p w:rsidR="00E33213" w:rsidRDefault="00E33213" w:rsidP="005A6EB9">
      <w:pPr>
        <w:pStyle w:val="FootnoteText"/>
      </w:pPr>
      <w:r w:rsidRPr="00D46724">
        <w:rPr>
          <w:rStyle w:val="FootnoteReference"/>
          <w:sz w:val="20"/>
          <w:szCs w:val="18"/>
        </w:rPr>
        <w:footnoteRef/>
      </w:r>
      <w:r w:rsidRPr="00D46724">
        <w:t xml:space="preserve"> </w:t>
      </w:r>
      <w:r>
        <w:t>SAICM/ICCM.2/INF/42</w:t>
      </w:r>
    </w:p>
  </w:footnote>
  <w:footnote w:id="4">
    <w:p w:rsidR="00E33213" w:rsidRDefault="00E33213" w:rsidP="005A6EB9">
      <w:pPr>
        <w:pStyle w:val="FootnoteText"/>
      </w:pPr>
      <w:r>
        <w:rPr>
          <w:rStyle w:val="FootnoteReference"/>
          <w:sz w:val="20"/>
          <w:szCs w:val="18"/>
        </w:rPr>
        <w:footnoteRef/>
      </w:r>
      <w:r>
        <w:t xml:space="preserve"> SAICM/ICCM/3/INF/32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213" w:rsidRPr="00FE35A6" w:rsidRDefault="00E33213" w:rsidP="00C107D7">
    <w:pPr>
      <w:pStyle w:val="Header"/>
      <w:tabs>
        <w:tab w:val="clear" w:pos="1247"/>
        <w:tab w:val="clear" w:pos="4536"/>
        <w:tab w:val="clear" w:pos="9072"/>
        <w:tab w:val="left" w:pos="624"/>
      </w:tabs>
      <w:rPr>
        <w:szCs w:val="18"/>
      </w:rPr>
    </w:pPr>
    <w:r w:rsidRPr="00FE35A6">
      <w:rPr>
        <w:szCs w:val="18"/>
      </w:rPr>
      <w:t>SAICM//ICCM.</w:t>
    </w:r>
    <w:r>
      <w:rPr>
        <w:szCs w:val="18"/>
      </w:rPr>
      <w:t>4</w:t>
    </w:r>
    <w:r w:rsidRPr="00FE35A6">
      <w:rPr>
        <w:szCs w:val="18"/>
      </w:rPr>
      <w:t>/</w:t>
    </w:r>
    <w:r>
      <w:rPr>
        <w:szCs w:val="18"/>
      </w:rPr>
      <w:t>INF/36</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213" w:rsidRDefault="00E33213" w:rsidP="005A6EB9">
    <w:pPr>
      <w:pStyle w:val="Header"/>
      <w:pBdr>
        <w:bottom w:val="single" w:sz="4" w:space="0" w:color="auto"/>
      </w:pBdr>
      <w:jc w:val="right"/>
    </w:pPr>
    <w:r w:rsidRPr="00FE35A6">
      <w:rPr>
        <w:szCs w:val="18"/>
      </w:rPr>
      <w:t>SAICM//ICCM.</w:t>
    </w:r>
    <w:r>
      <w:rPr>
        <w:szCs w:val="18"/>
      </w:rPr>
      <w:t>4</w:t>
    </w:r>
    <w:r w:rsidRPr="00FE35A6">
      <w:rPr>
        <w:szCs w:val="18"/>
      </w:rPr>
      <w:t>/</w:t>
    </w:r>
    <w:r>
      <w:rPr>
        <w:szCs w:val="18"/>
      </w:rPr>
      <w:t>INF/36</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213" w:rsidRDefault="00E33213" w:rsidP="00542568">
    <w:pPr>
      <w:pStyle w:val="Header"/>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12954"/>
    <w:multiLevelType w:val="hybridMultilevel"/>
    <w:tmpl w:val="68EE0A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D466CD"/>
    <w:multiLevelType w:val="hybridMultilevel"/>
    <w:tmpl w:val="374262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571867"/>
    <w:multiLevelType w:val="singleLevel"/>
    <w:tmpl w:val="A2E252AA"/>
    <w:lvl w:ilvl="0">
      <w:start w:val="1"/>
      <w:numFmt w:val="upperRoman"/>
      <w:pStyle w:val="Heading8"/>
      <w:lvlText w:val="%1."/>
      <w:lvlJc w:val="left"/>
      <w:pPr>
        <w:tabs>
          <w:tab w:val="num" w:pos="720"/>
        </w:tabs>
        <w:ind w:left="720" w:hanging="720"/>
      </w:pPr>
      <w:rPr>
        <w:rFonts w:cs="Times New Roman" w:hint="default"/>
      </w:rPr>
    </w:lvl>
  </w:abstractNum>
  <w:abstractNum w:abstractNumId="3">
    <w:nsid w:val="27A80DE4"/>
    <w:multiLevelType w:val="hybridMultilevel"/>
    <w:tmpl w:val="06A8C3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571603"/>
    <w:multiLevelType w:val="singleLevel"/>
    <w:tmpl w:val="2868AC2A"/>
    <w:lvl w:ilvl="0">
      <w:start w:val="6"/>
      <w:numFmt w:val="upperLetter"/>
      <w:pStyle w:val="Heading9"/>
      <w:lvlText w:val="%1."/>
      <w:lvlJc w:val="left"/>
      <w:pPr>
        <w:tabs>
          <w:tab w:val="num" w:pos="360"/>
        </w:tabs>
        <w:ind w:left="360" w:hanging="360"/>
      </w:pPr>
      <w:rPr>
        <w:rFonts w:cs="Times New Roman" w:hint="default"/>
      </w:rPr>
    </w:lvl>
  </w:abstractNum>
  <w:abstractNum w:abstractNumId="5">
    <w:nsid w:val="38BE06CA"/>
    <w:multiLevelType w:val="hybridMultilevel"/>
    <w:tmpl w:val="C6D464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2A66A9D"/>
    <w:multiLevelType w:val="multilevel"/>
    <w:tmpl w:val="48241D10"/>
    <w:styleLink w:val="Normallist"/>
    <w:lvl w:ilvl="0">
      <w:start w:val="1"/>
      <w:numFmt w:val="decimal"/>
      <w:lvlText w:val="%1."/>
      <w:lvlJc w:val="left"/>
      <w:pPr>
        <w:tabs>
          <w:tab w:val="num" w:pos="567"/>
        </w:tabs>
        <w:ind w:left="1247"/>
      </w:pPr>
      <w:rPr>
        <w:rFonts w:cs="Times New Roman" w:hint="default"/>
      </w:rPr>
    </w:lvl>
    <w:lvl w:ilvl="1">
      <w:start w:val="1"/>
      <w:numFmt w:val="lowerLetter"/>
      <w:lvlText w:val="(%2)"/>
      <w:lvlJc w:val="left"/>
      <w:pPr>
        <w:tabs>
          <w:tab w:val="num" w:pos="567"/>
        </w:tabs>
        <w:ind w:left="1247" w:firstLine="567"/>
      </w:pPr>
      <w:rPr>
        <w:rFonts w:cs="Times New Roman" w:hint="default"/>
      </w:rPr>
    </w:lvl>
    <w:lvl w:ilvl="2">
      <w:start w:val="1"/>
      <w:numFmt w:val="lowerRoman"/>
      <w:lvlText w:val="(%3)"/>
      <w:lvlJc w:val="left"/>
      <w:pPr>
        <w:tabs>
          <w:tab w:val="num" w:pos="567"/>
        </w:tabs>
        <w:ind w:left="2948" w:hanging="567"/>
      </w:pPr>
      <w:rPr>
        <w:rFonts w:cs="Times New Roman" w:hint="default"/>
      </w:rPr>
    </w:lvl>
    <w:lvl w:ilvl="3">
      <w:start w:val="1"/>
      <w:numFmt w:val="lowerLetter"/>
      <w:lvlText w:val="%4."/>
      <w:lvlJc w:val="left"/>
      <w:pPr>
        <w:tabs>
          <w:tab w:val="num" w:pos="567"/>
        </w:tabs>
        <w:ind w:left="3515" w:hanging="567"/>
      </w:pPr>
      <w:rPr>
        <w:rFonts w:cs="Times New Roman" w:hint="default"/>
      </w:rPr>
    </w:lvl>
    <w:lvl w:ilvl="4">
      <w:start w:val="1"/>
      <w:numFmt w:val="lowerLetter"/>
      <w:lvlText w:val="%5."/>
      <w:lvlJc w:val="left"/>
      <w:pPr>
        <w:tabs>
          <w:tab w:val="num" w:pos="6548"/>
        </w:tabs>
        <w:ind w:left="6548" w:hanging="360"/>
      </w:pPr>
      <w:rPr>
        <w:rFonts w:cs="Times New Roman" w:hint="default"/>
      </w:rPr>
    </w:lvl>
    <w:lvl w:ilvl="5">
      <w:start w:val="1"/>
      <w:numFmt w:val="lowerRoman"/>
      <w:lvlText w:val="%6."/>
      <w:lvlJc w:val="right"/>
      <w:pPr>
        <w:tabs>
          <w:tab w:val="num" w:pos="7268"/>
        </w:tabs>
        <w:ind w:left="7268" w:hanging="180"/>
      </w:pPr>
      <w:rPr>
        <w:rFonts w:cs="Times New Roman" w:hint="default"/>
      </w:rPr>
    </w:lvl>
    <w:lvl w:ilvl="6">
      <w:start w:val="1"/>
      <w:numFmt w:val="decimal"/>
      <w:lvlText w:val="%7."/>
      <w:lvlJc w:val="left"/>
      <w:pPr>
        <w:tabs>
          <w:tab w:val="num" w:pos="7988"/>
        </w:tabs>
        <w:ind w:left="7988" w:hanging="360"/>
      </w:pPr>
      <w:rPr>
        <w:rFonts w:cs="Times New Roman" w:hint="default"/>
      </w:rPr>
    </w:lvl>
    <w:lvl w:ilvl="7">
      <w:start w:val="1"/>
      <w:numFmt w:val="lowerLetter"/>
      <w:lvlText w:val="%8."/>
      <w:lvlJc w:val="left"/>
      <w:pPr>
        <w:tabs>
          <w:tab w:val="num" w:pos="8708"/>
        </w:tabs>
        <w:ind w:left="8708" w:hanging="360"/>
      </w:pPr>
      <w:rPr>
        <w:rFonts w:cs="Times New Roman" w:hint="default"/>
      </w:rPr>
    </w:lvl>
    <w:lvl w:ilvl="8">
      <w:start w:val="1"/>
      <w:numFmt w:val="lowerRoman"/>
      <w:lvlText w:val="%9."/>
      <w:lvlJc w:val="right"/>
      <w:pPr>
        <w:tabs>
          <w:tab w:val="num" w:pos="9428"/>
        </w:tabs>
        <w:ind w:left="9428" w:hanging="180"/>
      </w:pPr>
      <w:rPr>
        <w:rFonts w:cs="Times New Roman" w:hint="default"/>
      </w:rPr>
    </w:lvl>
  </w:abstractNum>
  <w:abstractNum w:abstractNumId="7">
    <w:nsid w:val="71937021"/>
    <w:multiLevelType w:val="hybridMultilevel"/>
    <w:tmpl w:val="104204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6"/>
  </w:num>
  <w:num w:numId="4">
    <w:abstractNumId w:val="7"/>
  </w:num>
  <w:num w:numId="5">
    <w:abstractNumId w:val="3"/>
  </w:num>
  <w:num w:numId="6">
    <w:abstractNumId w:val="0"/>
  </w:num>
  <w:num w:numId="7">
    <w:abstractNumId w:val="5"/>
  </w:num>
  <w:num w:numId="8">
    <w:abstractNumId w:val="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linkStyles/>
  <w:stylePaneFormatFilter w:val="3001"/>
  <w:trackRevisions/>
  <w:defaultTabStop w:val="624"/>
  <w:hyphenationZone w:val="425"/>
  <w:evenAndOddHeaders/>
  <w:noPunctuationKerning/>
  <w:characterSpacingControl w:val="doNotCompress"/>
  <w:footnotePr>
    <w:footnote w:id="-1"/>
    <w:footnote w:id="0"/>
  </w:footnotePr>
  <w:endnotePr>
    <w:endnote w:id="-1"/>
    <w:endnote w:id="0"/>
  </w:endnotePr>
  <w:compat>
    <w:applyBreakingRules/>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F1777"/>
    <w:rsid w:val="00030B1E"/>
    <w:rsid w:val="00030E54"/>
    <w:rsid w:val="00033F96"/>
    <w:rsid w:val="00055F14"/>
    <w:rsid w:val="000577C2"/>
    <w:rsid w:val="00060849"/>
    <w:rsid w:val="000A17F2"/>
    <w:rsid w:val="000B6F7B"/>
    <w:rsid w:val="000D2A32"/>
    <w:rsid w:val="000D41D4"/>
    <w:rsid w:val="000E67D3"/>
    <w:rsid w:val="000F0DDD"/>
    <w:rsid w:val="0010537F"/>
    <w:rsid w:val="001070A7"/>
    <w:rsid w:val="00110CEB"/>
    <w:rsid w:val="00131F5F"/>
    <w:rsid w:val="001423BD"/>
    <w:rsid w:val="00144B3C"/>
    <w:rsid w:val="00146253"/>
    <w:rsid w:val="00171B1B"/>
    <w:rsid w:val="0017454A"/>
    <w:rsid w:val="00175497"/>
    <w:rsid w:val="001A3520"/>
    <w:rsid w:val="001B1FE8"/>
    <w:rsid w:val="001B4B0C"/>
    <w:rsid w:val="001C1091"/>
    <w:rsid w:val="001C35A5"/>
    <w:rsid w:val="001D3947"/>
    <w:rsid w:val="001D782C"/>
    <w:rsid w:val="001E1287"/>
    <w:rsid w:val="00202BAA"/>
    <w:rsid w:val="00222068"/>
    <w:rsid w:val="0023120D"/>
    <w:rsid w:val="00235CB2"/>
    <w:rsid w:val="00274D5C"/>
    <w:rsid w:val="002804EE"/>
    <w:rsid w:val="002A5A9A"/>
    <w:rsid w:val="002C159A"/>
    <w:rsid w:val="002D2ED3"/>
    <w:rsid w:val="002E4074"/>
    <w:rsid w:val="00310DBE"/>
    <w:rsid w:val="00320C65"/>
    <w:rsid w:val="00353C42"/>
    <w:rsid w:val="003559F0"/>
    <w:rsid w:val="003A2407"/>
    <w:rsid w:val="003B0D82"/>
    <w:rsid w:val="003B5BE1"/>
    <w:rsid w:val="003E7A98"/>
    <w:rsid w:val="0040171D"/>
    <w:rsid w:val="00413E1A"/>
    <w:rsid w:val="00420435"/>
    <w:rsid w:val="00432964"/>
    <w:rsid w:val="00442380"/>
    <w:rsid w:val="00480162"/>
    <w:rsid w:val="00486BEA"/>
    <w:rsid w:val="004A2231"/>
    <w:rsid w:val="004A5E90"/>
    <w:rsid w:val="004B7361"/>
    <w:rsid w:val="004C05FB"/>
    <w:rsid w:val="004D1ACC"/>
    <w:rsid w:val="004D3BF7"/>
    <w:rsid w:val="00503C29"/>
    <w:rsid w:val="00507741"/>
    <w:rsid w:val="00510B1E"/>
    <w:rsid w:val="005131E4"/>
    <w:rsid w:val="00514965"/>
    <w:rsid w:val="005162EE"/>
    <w:rsid w:val="00531365"/>
    <w:rsid w:val="00542568"/>
    <w:rsid w:val="00572A39"/>
    <w:rsid w:val="00585656"/>
    <w:rsid w:val="005A622E"/>
    <w:rsid w:val="005A6EB9"/>
    <w:rsid w:val="005B3E86"/>
    <w:rsid w:val="005C2B4B"/>
    <w:rsid w:val="005E1DBF"/>
    <w:rsid w:val="00613D46"/>
    <w:rsid w:val="00615287"/>
    <w:rsid w:val="00631FA1"/>
    <w:rsid w:val="00634DEC"/>
    <w:rsid w:val="00642A75"/>
    <w:rsid w:val="006579D6"/>
    <w:rsid w:val="00675190"/>
    <w:rsid w:val="00676383"/>
    <w:rsid w:val="0067669E"/>
    <w:rsid w:val="00680BEE"/>
    <w:rsid w:val="006A5CE8"/>
    <w:rsid w:val="006E52CF"/>
    <w:rsid w:val="006E596E"/>
    <w:rsid w:val="006E597C"/>
    <w:rsid w:val="006F7E6E"/>
    <w:rsid w:val="00716744"/>
    <w:rsid w:val="007338E2"/>
    <w:rsid w:val="007356A7"/>
    <w:rsid w:val="007435AC"/>
    <w:rsid w:val="00744454"/>
    <w:rsid w:val="00752C5A"/>
    <w:rsid w:val="0075319E"/>
    <w:rsid w:val="00784FD6"/>
    <w:rsid w:val="007A4F12"/>
    <w:rsid w:val="007A57E5"/>
    <w:rsid w:val="007B02D8"/>
    <w:rsid w:val="007D08BD"/>
    <w:rsid w:val="007E2A1C"/>
    <w:rsid w:val="007E3011"/>
    <w:rsid w:val="00804BBA"/>
    <w:rsid w:val="008061BD"/>
    <w:rsid w:val="00814D27"/>
    <w:rsid w:val="008210EF"/>
    <w:rsid w:val="00823479"/>
    <w:rsid w:val="00860AE4"/>
    <w:rsid w:val="008610AA"/>
    <w:rsid w:val="008643F1"/>
    <w:rsid w:val="008665DD"/>
    <w:rsid w:val="008B21B4"/>
    <w:rsid w:val="008F270B"/>
    <w:rsid w:val="008F55EC"/>
    <w:rsid w:val="008F661D"/>
    <w:rsid w:val="00923766"/>
    <w:rsid w:val="00924BAC"/>
    <w:rsid w:val="009254F7"/>
    <w:rsid w:val="009345ED"/>
    <w:rsid w:val="00934AA1"/>
    <w:rsid w:val="00953398"/>
    <w:rsid w:val="00970B5F"/>
    <w:rsid w:val="0098342D"/>
    <w:rsid w:val="009B531D"/>
    <w:rsid w:val="009C3629"/>
    <w:rsid w:val="009E2C0B"/>
    <w:rsid w:val="009E3E97"/>
    <w:rsid w:val="009E7191"/>
    <w:rsid w:val="00A1425D"/>
    <w:rsid w:val="00A37B12"/>
    <w:rsid w:val="00A4727B"/>
    <w:rsid w:val="00A47C25"/>
    <w:rsid w:val="00A53E5F"/>
    <w:rsid w:val="00A642B6"/>
    <w:rsid w:val="00A80CD8"/>
    <w:rsid w:val="00A875EC"/>
    <w:rsid w:val="00A94442"/>
    <w:rsid w:val="00A979F1"/>
    <w:rsid w:val="00AB6A35"/>
    <w:rsid w:val="00AC313D"/>
    <w:rsid w:val="00AC4D63"/>
    <w:rsid w:val="00AE0DD8"/>
    <w:rsid w:val="00AF0BCE"/>
    <w:rsid w:val="00AF1205"/>
    <w:rsid w:val="00AF2BD1"/>
    <w:rsid w:val="00B00AD3"/>
    <w:rsid w:val="00B43747"/>
    <w:rsid w:val="00B63A85"/>
    <w:rsid w:val="00B8697F"/>
    <w:rsid w:val="00BB1EFD"/>
    <w:rsid w:val="00BC3D03"/>
    <w:rsid w:val="00BC5B7B"/>
    <w:rsid w:val="00BE0926"/>
    <w:rsid w:val="00BE4E2F"/>
    <w:rsid w:val="00BF0E17"/>
    <w:rsid w:val="00C107D7"/>
    <w:rsid w:val="00C5140D"/>
    <w:rsid w:val="00C867DE"/>
    <w:rsid w:val="00CA10E2"/>
    <w:rsid w:val="00CA5910"/>
    <w:rsid w:val="00CB4804"/>
    <w:rsid w:val="00CD0334"/>
    <w:rsid w:val="00CD286E"/>
    <w:rsid w:val="00D43421"/>
    <w:rsid w:val="00D441BC"/>
    <w:rsid w:val="00D45C03"/>
    <w:rsid w:val="00D46724"/>
    <w:rsid w:val="00D57873"/>
    <w:rsid w:val="00D65159"/>
    <w:rsid w:val="00D7535B"/>
    <w:rsid w:val="00DB7B17"/>
    <w:rsid w:val="00DD6178"/>
    <w:rsid w:val="00DD6867"/>
    <w:rsid w:val="00DF1777"/>
    <w:rsid w:val="00E11325"/>
    <w:rsid w:val="00E1785A"/>
    <w:rsid w:val="00E32440"/>
    <w:rsid w:val="00E33213"/>
    <w:rsid w:val="00E35F6A"/>
    <w:rsid w:val="00E36BD5"/>
    <w:rsid w:val="00E77453"/>
    <w:rsid w:val="00EA473E"/>
    <w:rsid w:val="00EC2022"/>
    <w:rsid w:val="00EE758A"/>
    <w:rsid w:val="00EF03B1"/>
    <w:rsid w:val="00EF21EF"/>
    <w:rsid w:val="00F17883"/>
    <w:rsid w:val="00F225C5"/>
    <w:rsid w:val="00F370F0"/>
    <w:rsid w:val="00F4229A"/>
    <w:rsid w:val="00F43BF9"/>
    <w:rsid w:val="00F872AA"/>
    <w:rsid w:val="00F943C9"/>
    <w:rsid w:val="00FB5044"/>
    <w:rsid w:val="00FC0E13"/>
    <w:rsid w:val="00FE35A6"/>
    <w:rsid w:val="00FE3EB6"/>
    <w:rsid w:val="00FF241C"/>
    <w:rsid w:val="00FF649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1" w:semiHidden="0" w:uiPriority="0" w:unhideWhenUsed="0"/>
    <w:lsdException w:name="footer"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159A"/>
    <w:rPr>
      <w:rFonts w:eastAsia="SimSun"/>
      <w:sz w:val="24"/>
      <w:szCs w:val="24"/>
    </w:rPr>
  </w:style>
  <w:style w:type="paragraph" w:styleId="Heading1">
    <w:name w:val="heading 1"/>
    <w:basedOn w:val="Normal"/>
    <w:next w:val="Normalnumber"/>
    <w:link w:val="Heading1Char"/>
    <w:uiPriority w:val="99"/>
    <w:qFormat/>
    <w:rsid w:val="002A5A9A"/>
    <w:pPr>
      <w:keepNext/>
      <w:tabs>
        <w:tab w:val="left" w:pos="1247"/>
        <w:tab w:val="left" w:pos="1814"/>
      </w:tabs>
      <w:spacing w:before="240" w:after="120"/>
      <w:ind w:left="1247" w:hanging="680"/>
      <w:outlineLvl w:val="0"/>
    </w:pPr>
    <w:rPr>
      <w:b/>
      <w:sz w:val="28"/>
    </w:rPr>
  </w:style>
  <w:style w:type="paragraph" w:styleId="Heading2">
    <w:name w:val="heading 2"/>
    <w:basedOn w:val="Normal"/>
    <w:next w:val="Normalnumber"/>
    <w:link w:val="Heading2Char"/>
    <w:uiPriority w:val="99"/>
    <w:qFormat/>
    <w:rsid w:val="002A5A9A"/>
    <w:pPr>
      <w:keepNext/>
      <w:spacing w:before="240" w:after="120"/>
      <w:ind w:left="1247" w:hanging="680"/>
      <w:outlineLvl w:val="1"/>
    </w:pPr>
    <w:rPr>
      <w:b/>
    </w:rPr>
  </w:style>
  <w:style w:type="paragraph" w:styleId="Heading3">
    <w:name w:val="heading 3"/>
    <w:basedOn w:val="Normal"/>
    <w:next w:val="Normalnumber"/>
    <w:link w:val="Heading3Char"/>
    <w:uiPriority w:val="99"/>
    <w:qFormat/>
    <w:rsid w:val="002A5A9A"/>
    <w:pPr>
      <w:spacing w:after="120"/>
      <w:ind w:left="1247" w:hanging="680"/>
      <w:outlineLvl w:val="2"/>
    </w:pPr>
    <w:rPr>
      <w:b/>
    </w:rPr>
  </w:style>
  <w:style w:type="paragraph" w:styleId="Heading4">
    <w:name w:val="heading 4"/>
    <w:basedOn w:val="Heading3"/>
    <w:next w:val="Normalnumber"/>
    <w:link w:val="Heading4Char"/>
    <w:uiPriority w:val="99"/>
    <w:qFormat/>
    <w:rsid w:val="002A5A9A"/>
    <w:pPr>
      <w:keepNext/>
      <w:outlineLvl w:val="3"/>
    </w:pPr>
  </w:style>
  <w:style w:type="paragraph" w:styleId="Heading5">
    <w:name w:val="heading 5"/>
    <w:basedOn w:val="Normal"/>
    <w:next w:val="Normal"/>
    <w:link w:val="Heading5Char"/>
    <w:uiPriority w:val="99"/>
    <w:qFormat/>
    <w:rsid w:val="002A5A9A"/>
    <w:pPr>
      <w:keepNext/>
      <w:outlineLvl w:val="4"/>
    </w:pPr>
    <w:rPr>
      <w:rFonts w:ascii="Univers" w:hAnsi="Univers"/>
      <w:b/>
    </w:rPr>
  </w:style>
  <w:style w:type="paragraph" w:styleId="Heading6">
    <w:name w:val="heading 6"/>
    <w:basedOn w:val="Normal"/>
    <w:next w:val="Normal"/>
    <w:link w:val="Heading6Char"/>
    <w:uiPriority w:val="99"/>
    <w:qFormat/>
    <w:rsid w:val="002A5A9A"/>
    <w:pPr>
      <w:keepNext/>
      <w:ind w:left="578"/>
      <w:outlineLvl w:val="5"/>
    </w:pPr>
    <w:rPr>
      <w:b/>
      <w:bCs/>
    </w:rPr>
  </w:style>
  <w:style w:type="paragraph" w:styleId="Heading7">
    <w:name w:val="heading 7"/>
    <w:basedOn w:val="Normal"/>
    <w:next w:val="Normal"/>
    <w:link w:val="Heading7Char"/>
    <w:uiPriority w:val="99"/>
    <w:qFormat/>
    <w:rsid w:val="002A5A9A"/>
    <w:pPr>
      <w:keepNext/>
      <w:widowControl w:val="0"/>
      <w:jc w:val="center"/>
      <w:outlineLvl w:val="6"/>
    </w:pPr>
    <w:rPr>
      <w:u w:val="single"/>
    </w:rPr>
  </w:style>
  <w:style w:type="paragraph" w:styleId="Heading8">
    <w:name w:val="heading 8"/>
    <w:basedOn w:val="Normal"/>
    <w:next w:val="Normal"/>
    <w:link w:val="Heading8Char"/>
    <w:uiPriority w:val="99"/>
    <w:qFormat/>
    <w:rsid w:val="002A5A9A"/>
    <w:pPr>
      <w:keepNext/>
      <w:widowControl w:val="0"/>
      <w:numPr>
        <w:numId w:val="1"/>
      </w:numPr>
      <w:tabs>
        <w:tab w:val="left" w:pos="-1440"/>
        <w:tab w:val="left" w:pos="-720"/>
      </w:tabs>
      <w:suppressAutoHyphens/>
      <w:jc w:val="center"/>
      <w:outlineLvl w:val="7"/>
    </w:pPr>
    <w:rPr>
      <w:u w:val="single"/>
    </w:rPr>
  </w:style>
  <w:style w:type="paragraph" w:styleId="Heading9">
    <w:name w:val="heading 9"/>
    <w:basedOn w:val="Normal"/>
    <w:next w:val="Normal"/>
    <w:link w:val="Heading9Char"/>
    <w:uiPriority w:val="99"/>
    <w:qFormat/>
    <w:rsid w:val="002A5A9A"/>
    <w:pPr>
      <w:keepNext/>
      <w:widowControl w:val="0"/>
      <w:numPr>
        <w:numId w:val="2"/>
      </w:numPr>
      <w:suppressAutoHyphens/>
      <w:jc w:val="center"/>
      <w:outlineLvl w:val="8"/>
    </w:pPr>
    <w:rPr>
      <w:u w:val="single"/>
    </w:rPr>
  </w:style>
  <w:style w:type="character" w:default="1" w:styleId="DefaultParagraphFont">
    <w:name w:val="Default Paragraph Font"/>
    <w:uiPriority w:val="99"/>
    <w:semiHidden/>
    <w:rsid w:val="002C159A"/>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3D9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6E3D99"/>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6E3D99"/>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6E3D99"/>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6E3D99"/>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6E3D99"/>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6E3D99"/>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6E3D99"/>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6E3D99"/>
    <w:rPr>
      <w:rFonts w:asciiTheme="majorHAnsi" w:eastAsiaTheme="majorEastAsia" w:hAnsiTheme="majorHAnsi" w:cstheme="majorBidi"/>
    </w:rPr>
  </w:style>
  <w:style w:type="character" w:styleId="PageNumber">
    <w:name w:val="page number"/>
    <w:basedOn w:val="DefaultParagraphFont"/>
    <w:uiPriority w:val="99"/>
    <w:rsid w:val="002A5A9A"/>
    <w:rPr>
      <w:rFonts w:ascii="Times New Roman" w:hAnsi="Times New Roman" w:cs="Times New Roman"/>
      <w:b/>
      <w:sz w:val="18"/>
    </w:rPr>
  </w:style>
  <w:style w:type="table" w:customStyle="1" w:styleId="57">
    <w:name w:val="57"/>
    <w:uiPriority w:val="99"/>
    <w:pPr>
      <w:widowControl w:val="0"/>
      <w:autoSpaceDE w:val="0"/>
      <w:autoSpaceDN w:val="0"/>
      <w:adjustRightInd w:val="0"/>
    </w:pPr>
    <w:rPr>
      <w:sz w:val="24"/>
      <w:szCs w:val="24"/>
    </w:rPr>
    <w:tblPr>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style>
  <w:style w:type="paragraph" w:styleId="TOC6">
    <w:name w:val="toc 6"/>
    <w:basedOn w:val="Normal"/>
    <w:next w:val="Normal"/>
    <w:autoRedefine/>
    <w:uiPriority w:val="99"/>
    <w:semiHidden/>
    <w:rsid w:val="002A5A9A"/>
    <w:pPr>
      <w:ind w:left="1000"/>
    </w:pPr>
    <w:rPr>
      <w:sz w:val="18"/>
      <w:szCs w:val="18"/>
    </w:rPr>
  </w:style>
  <w:style w:type="paragraph" w:styleId="TOC7">
    <w:name w:val="toc 7"/>
    <w:basedOn w:val="Normal"/>
    <w:next w:val="Normal"/>
    <w:autoRedefine/>
    <w:uiPriority w:val="99"/>
    <w:semiHidden/>
    <w:rsid w:val="002A5A9A"/>
    <w:pPr>
      <w:ind w:left="1200"/>
    </w:pPr>
    <w:rPr>
      <w:sz w:val="18"/>
      <w:szCs w:val="18"/>
    </w:rPr>
  </w:style>
  <w:style w:type="paragraph" w:styleId="TOC8">
    <w:name w:val="toc 8"/>
    <w:basedOn w:val="Normal"/>
    <w:next w:val="Normal"/>
    <w:autoRedefine/>
    <w:uiPriority w:val="99"/>
    <w:semiHidden/>
    <w:rsid w:val="002A5A9A"/>
    <w:pPr>
      <w:ind w:left="1400"/>
    </w:pPr>
    <w:rPr>
      <w:sz w:val="18"/>
      <w:szCs w:val="18"/>
    </w:rPr>
  </w:style>
  <w:style w:type="paragraph" w:styleId="TOC9">
    <w:name w:val="toc 9"/>
    <w:basedOn w:val="Normal"/>
    <w:next w:val="Normal"/>
    <w:autoRedefine/>
    <w:uiPriority w:val="99"/>
    <w:semiHidden/>
    <w:rsid w:val="002A5A9A"/>
    <w:pPr>
      <w:ind w:left="1600"/>
    </w:pPr>
    <w:rPr>
      <w:sz w:val="18"/>
      <w:szCs w:val="18"/>
    </w:rPr>
  </w:style>
  <w:style w:type="paragraph" w:customStyle="1" w:styleId="Titlefigure">
    <w:name w:val="Title_figure"/>
    <w:basedOn w:val="Titletable"/>
    <w:next w:val="NormalNonumber"/>
    <w:uiPriority w:val="99"/>
    <w:rsid w:val="002A5A9A"/>
    <w:rPr>
      <w:bCs w:val="0"/>
    </w:rPr>
  </w:style>
  <w:style w:type="paragraph" w:styleId="TableofFigures">
    <w:name w:val="table of figures"/>
    <w:basedOn w:val="Normal"/>
    <w:next w:val="Normal"/>
    <w:autoRedefine/>
    <w:uiPriority w:val="99"/>
    <w:semiHidden/>
    <w:rsid w:val="002A5A9A"/>
    <w:pPr>
      <w:ind w:left="1814" w:hanging="567"/>
    </w:pPr>
  </w:style>
  <w:style w:type="paragraph" w:customStyle="1" w:styleId="CH1">
    <w:name w:val="CH1"/>
    <w:basedOn w:val="Normal-pool"/>
    <w:next w:val="CH2"/>
    <w:uiPriority w:val="99"/>
    <w:rsid w:val="002A5A9A"/>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uiPriority w:val="99"/>
    <w:rsid w:val="002A5A9A"/>
    <w:pPr>
      <w:keepNext/>
      <w:keepLines/>
      <w:tabs>
        <w:tab w:val="right" w:pos="851"/>
      </w:tabs>
      <w:suppressAutoHyphens/>
      <w:spacing w:before="120" w:after="120"/>
      <w:ind w:left="1247" w:right="284" w:hanging="1247"/>
    </w:pPr>
    <w:rPr>
      <w:b/>
      <w:sz w:val="24"/>
      <w:szCs w:val="24"/>
    </w:rPr>
  </w:style>
  <w:style w:type="paragraph" w:customStyle="1" w:styleId="CH3">
    <w:name w:val="CH3"/>
    <w:basedOn w:val="Normal-pool"/>
    <w:next w:val="Normalnumber"/>
    <w:uiPriority w:val="99"/>
    <w:rsid w:val="002A5A9A"/>
    <w:pPr>
      <w:keepNext/>
      <w:keepLines/>
      <w:tabs>
        <w:tab w:val="right" w:pos="851"/>
      </w:tabs>
      <w:suppressAutoHyphens/>
      <w:spacing w:after="120"/>
      <w:ind w:left="1247" w:right="284" w:hanging="1247"/>
    </w:pPr>
    <w:rPr>
      <w:b/>
    </w:rPr>
  </w:style>
  <w:style w:type="paragraph" w:customStyle="1" w:styleId="CH4">
    <w:name w:val="CH4"/>
    <w:basedOn w:val="Normal-pool"/>
    <w:next w:val="Normalnumber"/>
    <w:uiPriority w:val="99"/>
    <w:rsid w:val="002A5A9A"/>
    <w:pPr>
      <w:keepNext/>
      <w:keepLines/>
      <w:tabs>
        <w:tab w:val="right" w:pos="851"/>
      </w:tabs>
      <w:suppressAutoHyphens/>
      <w:spacing w:after="120"/>
      <w:ind w:left="1247" w:right="284" w:hanging="1247"/>
    </w:pPr>
    <w:rPr>
      <w:b/>
    </w:rPr>
  </w:style>
  <w:style w:type="table" w:customStyle="1" w:styleId="28">
    <w:name w:val="28"/>
    <w:uiPriority w:val="99"/>
    <w:pPr>
      <w:widowControl w:val="0"/>
      <w:autoSpaceDE w:val="0"/>
      <w:autoSpaceDN w:val="0"/>
      <w:adjustRightInd w:val="0"/>
    </w:pPr>
    <w:rPr>
      <w:sz w:val="24"/>
      <w:szCs w:val="24"/>
    </w:rPr>
    <w:tblPr>
      <w:jc w:val="right"/>
      <w:tblInd w:w="0" w:type="dxa"/>
      <w:tblBorders>
        <w:top w:val="double" w:sz="4" w:space="0" w:color="auto"/>
        <w:left w:val="double" w:sz="4" w:space="0" w:color="auto"/>
        <w:bottom w:val="double" w:sz="4" w:space="0" w:color="auto"/>
        <w:right w:val="double" w:sz="4" w:space="0" w:color="auto"/>
      </w:tblBorders>
      <w:tblCellMar>
        <w:top w:w="0" w:type="dxa"/>
        <w:left w:w="108" w:type="dxa"/>
        <w:bottom w:w="0" w:type="dxa"/>
        <w:right w:w="108" w:type="dxa"/>
      </w:tblCellMar>
    </w:tblPr>
    <w:trPr>
      <w:jc w:val="right"/>
    </w:trPr>
  </w:style>
  <w:style w:type="paragraph" w:customStyle="1" w:styleId="CH5">
    <w:name w:val="CH5"/>
    <w:basedOn w:val="Normal"/>
    <w:next w:val="Normalnumber"/>
    <w:uiPriority w:val="99"/>
    <w:semiHidden/>
    <w:rsid w:val="002A5A9A"/>
    <w:pPr>
      <w:keepNext/>
      <w:keepLines/>
      <w:tabs>
        <w:tab w:val="right" w:pos="851"/>
      </w:tabs>
      <w:suppressAutoHyphens/>
      <w:spacing w:after="120"/>
      <w:ind w:left="1247" w:right="284" w:hanging="1247"/>
    </w:pPr>
    <w:rPr>
      <w:b/>
    </w:rPr>
  </w:style>
  <w:style w:type="paragraph" w:styleId="NormalIndent">
    <w:name w:val="Normal Indent"/>
    <w:basedOn w:val="Normal"/>
    <w:uiPriority w:val="99"/>
    <w:semiHidden/>
    <w:rsid w:val="002A5A9A"/>
    <w:pPr>
      <w:ind w:left="1247"/>
    </w:pPr>
  </w:style>
  <w:style w:type="paragraph" w:customStyle="1" w:styleId="Normal-pool">
    <w:name w:val="Normal-pool"/>
    <w:link w:val="Normal-poolChar"/>
    <w:uiPriority w:val="99"/>
    <w:rsid w:val="002A5A9A"/>
    <w:pPr>
      <w:tabs>
        <w:tab w:val="left" w:pos="1247"/>
        <w:tab w:val="left" w:pos="1814"/>
        <w:tab w:val="left" w:pos="2381"/>
        <w:tab w:val="left" w:pos="2948"/>
        <w:tab w:val="left" w:pos="3515"/>
      </w:tabs>
    </w:pPr>
    <w:rPr>
      <w:sz w:val="20"/>
      <w:szCs w:val="20"/>
      <w:lang w:val="en-GB"/>
    </w:rPr>
  </w:style>
  <w:style w:type="table" w:styleId="TableGrid">
    <w:name w:val="Table Grid"/>
    <w:basedOn w:val="TableNormal"/>
    <w:uiPriority w:val="99"/>
    <w:rsid w:val="002A5A9A"/>
    <w:pPr>
      <w:tabs>
        <w:tab w:val="left" w:pos="1247"/>
        <w:tab w:val="left" w:pos="1814"/>
        <w:tab w:val="left" w:pos="2381"/>
        <w:tab w:val="left" w:pos="2948"/>
        <w:tab w:val="left" w:pos="3515"/>
      </w:tab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autoRedefine/>
    <w:uiPriority w:val="99"/>
    <w:qFormat/>
    <w:rsid w:val="002A5A9A"/>
    <w:pPr>
      <w:spacing w:before="240" w:after="240"/>
      <w:ind w:left="1253" w:right="562"/>
      <w:outlineLvl w:val="0"/>
    </w:pPr>
    <w:rPr>
      <w:b/>
      <w:bCs/>
      <w:kern w:val="28"/>
      <w:sz w:val="28"/>
      <w:szCs w:val="28"/>
    </w:rPr>
  </w:style>
  <w:style w:type="character" w:customStyle="1" w:styleId="TitleChar">
    <w:name w:val="Title Char"/>
    <w:basedOn w:val="DefaultParagraphFont"/>
    <w:link w:val="Title"/>
    <w:uiPriority w:val="10"/>
    <w:rsid w:val="006E3D99"/>
    <w:rPr>
      <w:rFonts w:asciiTheme="majorHAnsi" w:eastAsiaTheme="majorEastAsia" w:hAnsiTheme="majorHAnsi" w:cstheme="majorBidi"/>
      <w:b/>
      <w:bCs/>
      <w:kern w:val="28"/>
      <w:sz w:val="32"/>
      <w:szCs w:val="32"/>
    </w:rPr>
  </w:style>
  <w:style w:type="paragraph" w:styleId="BalloonText">
    <w:name w:val="Balloon Text"/>
    <w:basedOn w:val="Normal"/>
    <w:link w:val="BalloonTextChar"/>
    <w:uiPriority w:val="99"/>
    <w:rsid w:val="009E7191"/>
    <w:rPr>
      <w:rFonts w:ascii="Tahoma" w:hAnsi="Tahoma"/>
      <w:sz w:val="16"/>
      <w:szCs w:val="16"/>
    </w:rPr>
  </w:style>
  <w:style w:type="character" w:customStyle="1" w:styleId="BalloonTextChar">
    <w:name w:val="Balloon Text Char"/>
    <w:basedOn w:val="DefaultParagraphFont"/>
    <w:link w:val="BalloonText"/>
    <w:uiPriority w:val="99"/>
    <w:locked/>
    <w:rsid w:val="009E7191"/>
    <w:rPr>
      <w:rFonts w:ascii="Tahoma" w:hAnsi="Tahoma"/>
      <w:sz w:val="16"/>
      <w:lang w:eastAsia="en-US"/>
    </w:rPr>
  </w:style>
  <w:style w:type="character" w:styleId="FootnoteReference">
    <w:name w:val="footnote reference"/>
    <w:aliases w:val="16 Point,Superscript 6 Point,ftref,(Ref. de nota al pie),number,SUPERS,Footnote Reference Superscript,Footnote Reference1"/>
    <w:basedOn w:val="DefaultParagraphFont"/>
    <w:uiPriority w:val="99"/>
    <w:rsid w:val="002A5A9A"/>
    <w:rPr>
      <w:rFonts w:ascii="Times New Roman" w:hAnsi="Times New Roman" w:cs="Times New Roman"/>
      <w:color w:val="auto"/>
      <w:sz w:val="18"/>
      <w:vertAlign w:val="superscript"/>
    </w:rPr>
  </w:style>
  <w:style w:type="paragraph" w:styleId="FootnoteText">
    <w:name w:val="footnote text"/>
    <w:aliases w:val="Geneva 9,Font: Geneva 9,Boston 10,f,DNV-FT,Footnote01,footnote3,text,Geneva,92,Font:,Boston,10,FOOTNOTES,fn,single space,Footnote Text Rail EIS,ft,Footnotes,Footnote ak,fn cafc,Footnotes Char Char,Footnote Text Char Char,fn Char Char"/>
    <w:basedOn w:val="Normal-pool"/>
    <w:link w:val="FootnoteTextChar"/>
    <w:uiPriority w:val="99"/>
    <w:rsid w:val="002A5A9A"/>
    <w:pPr>
      <w:spacing w:before="20" w:after="40"/>
      <w:ind w:left="1247"/>
    </w:pPr>
    <w:rPr>
      <w:sz w:val="18"/>
      <w:lang w:val="en-US" w:eastAsia="en-US"/>
    </w:rPr>
  </w:style>
  <w:style w:type="character" w:customStyle="1" w:styleId="FootnoteTextChar">
    <w:name w:val="Footnote Text Char"/>
    <w:aliases w:val="Geneva 9 Char,Font: Geneva 9 Char,Boston 10 Char,f Char,DNV-FT Char,Footnote01 Char,footnote3 Char,text Char,Geneva Char,92 Char,Font: Char,Boston Char,10 Char,FOOTNOTES Char,fn Char,single space Char,Footnote Text Rail EIS Char"/>
    <w:basedOn w:val="DefaultParagraphFont"/>
    <w:link w:val="FootnoteText"/>
    <w:uiPriority w:val="99"/>
    <w:locked/>
    <w:rsid w:val="00F872AA"/>
    <w:rPr>
      <w:sz w:val="18"/>
      <w:lang w:eastAsia="en-US"/>
    </w:rPr>
  </w:style>
  <w:style w:type="character" w:styleId="CommentReference">
    <w:name w:val="annotation reference"/>
    <w:basedOn w:val="DefaultParagraphFont"/>
    <w:uiPriority w:val="99"/>
    <w:rsid w:val="0017454A"/>
    <w:rPr>
      <w:rFonts w:cs="Times New Roman"/>
      <w:sz w:val="16"/>
    </w:rPr>
  </w:style>
  <w:style w:type="paragraph" w:styleId="CommentText">
    <w:name w:val="annotation text"/>
    <w:basedOn w:val="Normal"/>
    <w:link w:val="CommentTextChar"/>
    <w:uiPriority w:val="99"/>
    <w:rsid w:val="0017454A"/>
    <w:rPr>
      <w:sz w:val="20"/>
      <w:szCs w:val="20"/>
    </w:rPr>
  </w:style>
  <w:style w:type="character" w:customStyle="1" w:styleId="CommentTextChar">
    <w:name w:val="Comment Text Char"/>
    <w:basedOn w:val="DefaultParagraphFont"/>
    <w:link w:val="CommentText"/>
    <w:uiPriority w:val="99"/>
    <w:locked/>
    <w:rsid w:val="0017454A"/>
    <w:rPr>
      <w:lang w:eastAsia="en-US"/>
    </w:rPr>
  </w:style>
  <w:style w:type="paragraph" w:styleId="CommentSubject">
    <w:name w:val="annotation subject"/>
    <w:basedOn w:val="CommentText"/>
    <w:next w:val="CommentText"/>
    <w:link w:val="CommentSubjectChar"/>
    <w:uiPriority w:val="99"/>
    <w:rsid w:val="0017454A"/>
    <w:rPr>
      <w:b/>
      <w:bCs/>
    </w:rPr>
  </w:style>
  <w:style w:type="character" w:customStyle="1" w:styleId="CommentSubjectChar">
    <w:name w:val="Comment Subject Char"/>
    <w:basedOn w:val="CommentTextChar"/>
    <w:link w:val="CommentSubject"/>
    <w:uiPriority w:val="99"/>
    <w:locked/>
    <w:rsid w:val="0017454A"/>
    <w:rPr>
      <w:b/>
    </w:rPr>
  </w:style>
  <w:style w:type="character" w:customStyle="1" w:styleId="HeaderChar">
    <w:name w:val="Header Char"/>
    <w:link w:val="Header"/>
    <w:uiPriority w:val="99"/>
    <w:locked/>
    <w:rsid w:val="00F872AA"/>
    <w:rPr>
      <w:b/>
      <w:sz w:val="18"/>
      <w:lang w:eastAsia="en-US"/>
    </w:rPr>
  </w:style>
  <w:style w:type="table" w:customStyle="1" w:styleId="AATable">
    <w:name w:val="AA_Table"/>
    <w:uiPriority w:val="99"/>
    <w:rsid w:val="002A5A9A"/>
    <w:rPr>
      <w:sz w:val="20"/>
      <w:szCs w:val="20"/>
    </w:rPr>
    <w:tblPr>
      <w:tblStyleRowBandSize w:val="1"/>
      <w:tblStyleColBandSize w:val="1"/>
      <w:jc w:val="right"/>
      <w:tblInd w:w="0" w:type="dxa"/>
      <w:tblCellMar>
        <w:top w:w="0" w:type="dxa"/>
        <w:left w:w="108" w:type="dxa"/>
        <w:bottom w:w="0" w:type="dxa"/>
        <w:right w:w="108" w:type="dxa"/>
      </w:tblCellMar>
    </w:tblPr>
    <w:trPr>
      <w:jc w:val="right"/>
    </w:trPr>
    <w:tblStylePr w:type="firstRow">
      <w:pPr>
        <w:spacing w:beforeLines="0" w:beforeAutospacing="0" w:afterLines="0" w:afterAutospacing="0"/>
        <w:jc w:val="left"/>
      </w:pPr>
      <w:rPr>
        <w:rFonts w:ascii="Arial" w:hAnsi="Arial" w:cs="Times New Roman"/>
        <w:b/>
        <w:i w:val="0"/>
        <w:caps/>
        <w:smallCaps w:val="0"/>
        <w:color w:val="auto"/>
        <w:sz w:val="27"/>
        <w:szCs w:val="27"/>
      </w:rPr>
    </w:tblStylePr>
    <w:tblStylePr w:type="lastRow">
      <w:pPr>
        <w:spacing w:beforeLines="0" w:beforeAutospacing="0" w:afterLines="0" w:afterAutospacing="0"/>
        <w:ind w:rightChars="0" w:right="567"/>
      </w:pPr>
      <w:rPr>
        <w:rFonts w:ascii="Arial" w:hAnsi="Arial" w:cs="Times New Roman"/>
        <w:b/>
        <w:sz w:val="28"/>
      </w:rPr>
      <w:tblPr/>
      <w:tcPr>
        <w:tcBorders>
          <w:top w:val="nil"/>
          <w:left w:val="nil"/>
          <w:bottom w:val="single" w:sz="18" w:space="0" w:color="auto"/>
          <w:right w:val="nil"/>
          <w:insideH w:val="nil"/>
          <w:insideV w:val="nil"/>
        </w:tcBorders>
      </w:tcPr>
    </w:tblStylePr>
    <w:tblStylePr w:type="firstCol">
      <w:pPr>
        <w:ind w:rightChars="0" w:right="0"/>
      </w:pPr>
      <w:rPr>
        <w:rFonts w:cs="Times New Roman"/>
      </w:rPr>
    </w:tblStylePr>
    <w:tblStylePr w:type="lastCol">
      <w:rPr>
        <w:rFonts w:ascii="Times New Roman" w:hAnsi="Times New Roman" w:cs="Times New Roman"/>
        <w:sz w:val="20"/>
      </w:rPr>
    </w:tblStylePr>
    <w:tblStylePr w:type="band1Vert">
      <w:rPr>
        <w:rFonts w:ascii="Times New Roman" w:hAnsi="Times New Roman" w:cs="Times New Roman"/>
      </w:rPr>
    </w:tblStylePr>
    <w:tblStylePr w:type="band2Vert">
      <w:pPr>
        <w:spacing w:beforeLines="0" w:beforeAutospacing="0" w:afterLines="0" w:afterAutospacing="0"/>
      </w:pPr>
      <w:rPr>
        <w:rFonts w:ascii="Times New Roman" w:hAnsi="Times New Roman" w:cs="Times New Roman"/>
        <w:b/>
        <w:i w:val="0"/>
        <w:color w:val="auto"/>
        <w:sz w:val="32"/>
        <w:szCs w:val="32"/>
      </w:rPr>
    </w:tblStylePr>
    <w:tblStylePr w:type="band1Horz">
      <w:rPr>
        <w:rFonts w:ascii="Times New Roman" w:hAnsi="Times New Roman" w:cs="Times New Roman"/>
        <w:sz w:val="20"/>
      </w:rPr>
      <w:tblPr/>
      <w:tcPr>
        <w:tcBorders>
          <w:bottom w:val="single" w:sz="4" w:space="0" w:color="auto"/>
        </w:tcBorders>
      </w:tcPr>
    </w:tblStylePr>
    <w:tblStylePr w:type="band2Horz">
      <w:rPr>
        <w:rFonts w:ascii="Times New Roman" w:hAnsi="Times New Roman" w:cs="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spacing w:beforeLines="0" w:beforeAutospacing="0" w:afterLines="0" w:afterAutospacing="0"/>
        <w:jc w:val="right"/>
      </w:pPr>
      <w:rPr>
        <w:rFonts w:ascii="Arial" w:hAnsi="Arial" w:cs="Times New Roman"/>
        <w:b/>
        <w:i w:val="0"/>
        <w:color w:val="auto"/>
        <w:sz w:val="64"/>
        <w:szCs w:val="64"/>
      </w:rPr>
    </w:tblStylePr>
    <w:tblStylePr w:type="nwCell">
      <w:rPr>
        <w:rFonts w:ascii="Arial" w:hAnsi="Arial" w:cs="Times New Roman"/>
        <w:b/>
        <w:i w:val="0"/>
        <w:caps/>
        <w:smallCaps w:val="0"/>
        <w:color w:val="auto"/>
        <w:sz w:val="27"/>
        <w:szCs w:val="27"/>
      </w:rPr>
    </w:tblStylePr>
    <w:tblStylePr w:type="seCell">
      <w:pPr>
        <w:spacing w:beforeLines="0" w:beforeAutospacing="0" w:afterLines="0" w:afterAutospacing="0"/>
        <w:ind w:leftChars="0" w:left="0" w:rightChars="0" w:right="0"/>
      </w:pPr>
      <w:rPr>
        <w:rFonts w:ascii="Times New Roman" w:hAnsi="Times New Roman" w:cs="Times New Roman"/>
        <w:b w:val="0"/>
        <w:sz w:val="20"/>
      </w:rPr>
    </w:tblStylePr>
    <w:tblStylePr w:type="swCell">
      <w:pPr>
        <w:spacing w:afterLines="0" w:afterAutospacing="0"/>
        <w:ind w:rightChars="0" w:right="0"/>
      </w:pPr>
      <w:rPr>
        <w:rFonts w:ascii="Times New Roman" w:hAnsi="Times New Roman" w:cs="Times New Roman"/>
      </w:rPr>
    </w:tblStylePr>
  </w:style>
  <w:style w:type="paragraph" w:customStyle="1" w:styleId="AATitle">
    <w:name w:val="AA_Title"/>
    <w:basedOn w:val="Normal-pool"/>
    <w:uiPriority w:val="99"/>
    <w:rsid w:val="002A5A9A"/>
    <w:pPr>
      <w:keepNext/>
      <w:keepLines/>
      <w:suppressAutoHyphens/>
      <w:ind w:right="3402"/>
    </w:pPr>
    <w:rPr>
      <w:b/>
    </w:rPr>
  </w:style>
  <w:style w:type="paragraph" w:customStyle="1" w:styleId="AATitle2">
    <w:name w:val="AA_Title2"/>
    <w:basedOn w:val="AATitle"/>
    <w:uiPriority w:val="99"/>
    <w:rsid w:val="002A5A9A"/>
    <w:pPr>
      <w:spacing w:before="120" w:after="120"/>
      <w:ind w:right="1701"/>
    </w:pPr>
  </w:style>
  <w:style w:type="paragraph" w:customStyle="1" w:styleId="BBTitle">
    <w:name w:val="BB_Title"/>
    <w:basedOn w:val="Normal-pool"/>
    <w:link w:val="BBTitleChar"/>
    <w:uiPriority w:val="99"/>
    <w:rsid w:val="002A5A9A"/>
    <w:pPr>
      <w:keepNext/>
      <w:keepLines/>
      <w:suppressAutoHyphens/>
      <w:spacing w:before="320" w:after="240"/>
      <w:ind w:left="1247" w:right="567"/>
    </w:pPr>
    <w:rPr>
      <w:b/>
      <w:sz w:val="28"/>
      <w:szCs w:val="28"/>
    </w:rPr>
  </w:style>
  <w:style w:type="paragraph" w:styleId="Footer">
    <w:name w:val="footer"/>
    <w:basedOn w:val="Normal-pool"/>
    <w:link w:val="FooterChar"/>
    <w:uiPriority w:val="99"/>
    <w:rsid w:val="002A5A9A"/>
    <w:pPr>
      <w:tabs>
        <w:tab w:val="center" w:pos="4320"/>
        <w:tab w:val="right" w:pos="8640"/>
      </w:tabs>
      <w:spacing w:before="60" w:after="120"/>
    </w:pPr>
    <w:rPr>
      <w:sz w:val="18"/>
    </w:rPr>
  </w:style>
  <w:style w:type="character" w:customStyle="1" w:styleId="FooterChar">
    <w:name w:val="Footer Char"/>
    <w:basedOn w:val="DefaultParagraphFont"/>
    <w:link w:val="Footer"/>
    <w:uiPriority w:val="99"/>
    <w:locked/>
    <w:rsid w:val="00EE758A"/>
    <w:rPr>
      <w:sz w:val="18"/>
      <w:lang w:val="en-GB"/>
    </w:rPr>
  </w:style>
  <w:style w:type="paragraph" w:styleId="Header">
    <w:name w:val="header"/>
    <w:basedOn w:val="Normal-pool"/>
    <w:link w:val="HeaderChar"/>
    <w:uiPriority w:val="99"/>
    <w:rsid w:val="002A5A9A"/>
    <w:pPr>
      <w:pBdr>
        <w:bottom w:val="single" w:sz="4" w:space="1" w:color="auto"/>
      </w:pBdr>
      <w:tabs>
        <w:tab w:val="clear" w:pos="1814"/>
        <w:tab w:val="clear" w:pos="2381"/>
        <w:tab w:val="clear" w:pos="2948"/>
        <w:tab w:val="clear" w:pos="3515"/>
        <w:tab w:val="center" w:pos="4536"/>
        <w:tab w:val="right" w:pos="9072"/>
      </w:tabs>
      <w:spacing w:after="120"/>
    </w:pPr>
    <w:rPr>
      <w:b/>
      <w:sz w:val="18"/>
      <w:lang w:val="en-US" w:eastAsia="en-US"/>
    </w:rPr>
  </w:style>
  <w:style w:type="character" w:customStyle="1" w:styleId="HeaderChar1">
    <w:name w:val="Header Char1"/>
    <w:basedOn w:val="DefaultParagraphFont"/>
    <w:link w:val="Header"/>
    <w:uiPriority w:val="99"/>
    <w:semiHidden/>
    <w:rsid w:val="006E3D99"/>
    <w:rPr>
      <w:rFonts w:eastAsia="SimSun"/>
      <w:sz w:val="24"/>
      <w:szCs w:val="24"/>
    </w:rPr>
  </w:style>
  <w:style w:type="character" w:styleId="Hyperlink">
    <w:name w:val="Hyperlink"/>
    <w:basedOn w:val="DefaultParagraphFont"/>
    <w:uiPriority w:val="99"/>
    <w:semiHidden/>
    <w:rsid w:val="002A5A9A"/>
    <w:rPr>
      <w:rFonts w:ascii="Times New Roman" w:hAnsi="Times New Roman" w:cs="Times New Roman"/>
      <w:color w:val="auto"/>
      <w:sz w:val="20"/>
      <w:u w:val="none"/>
      <w:lang w:val="fr-FR"/>
    </w:rPr>
  </w:style>
  <w:style w:type="paragraph" w:customStyle="1" w:styleId="NormalNonumber">
    <w:name w:val="Normal_No_number"/>
    <w:basedOn w:val="Normal-pool"/>
    <w:autoRedefine/>
    <w:uiPriority w:val="99"/>
    <w:rsid w:val="002A5A9A"/>
    <w:pPr>
      <w:spacing w:after="120"/>
      <w:ind w:left="1247"/>
    </w:pPr>
  </w:style>
  <w:style w:type="paragraph" w:customStyle="1" w:styleId="Normalnumber">
    <w:name w:val="Normal_number"/>
    <w:basedOn w:val="Normal-pool"/>
    <w:link w:val="NormalnumberChar"/>
    <w:uiPriority w:val="99"/>
    <w:rsid w:val="002A5A9A"/>
    <w:pPr>
      <w:spacing w:after="120"/>
    </w:pPr>
  </w:style>
  <w:style w:type="paragraph" w:customStyle="1" w:styleId="Titletable">
    <w:name w:val="Title_table"/>
    <w:basedOn w:val="Normal-pool"/>
    <w:next w:val="NormalNonumber"/>
    <w:uiPriority w:val="99"/>
    <w:rsid w:val="002A5A9A"/>
    <w:pPr>
      <w:keepNext/>
      <w:keepLines/>
      <w:suppressAutoHyphens/>
      <w:spacing w:after="60"/>
      <w:ind w:left="1247"/>
    </w:pPr>
    <w:rPr>
      <w:b/>
      <w:bCs/>
    </w:rPr>
  </w:style>
  <w:style w:type="paragraph" w:styleId="TOC1">
    <w:name w:val="toc 1"/>
    <w:basedOn w:val="Normal-pool"/>
    <w:next w:val="Normal-pool"/>
    <w:uiPriority w:val="99"/>
    <w:rsid w:val="002A5A9A"/>
    <w:pPr>
      <w:tabs>
        <w:tab w:val="clear" w:pos="2381"/>
        <w:tab w:val="clear" w:pos="2948"/>
        <w:tab w:val="clear" w:pos="3515"/>
        <w:tab w:val="right" w:leader="dot" w:pos="9486"/>
      </w:tabs>
      <w:spacing w:before="240"/>
      <w:ind w:left="1814" w:hanging="567"/>
    </w:pPr>
    <w:rPr>
      <w:bCs/>
    </w:rPr>
  </w:style>
  <w:style w:type="paragraph" w:styleId="TOC2">
    <w:name w:val="toc 2"/>
    <w:basedOn w:val="Normal-pool"/>
    <w:next w:val="Normal-pool"/>
    <w:uiPriority w:val="99"/>
    <w:rsid w:val="002A5A9A"/>
    <w:pPr>
      <w:tabs>
        <w:tab w:val="clear" w:pos="1814"/>
        <w:tab w:val="clear" w:pos="2948"/>
        <w:tab w:val="clear" w:pos="3515"/>
        <w:tab w:val="right" w:leader="dot" w:pos="9486"/>
      </w:tabs>
      <w:ind w:left="2381" w:hanging="567"/>
    </w:pPr>
  </w:style>
  <w:style w:type="paragraph" w:styleId="TOC3">
    <w:name w:val="toc 3"/>
    <w:basedOn w:val="Normal-pool"/>
    <w:next w:val="Normal-pool"/>
    <w:uiPriority w:val="99"/>
    <w:rsid w:val="002A5A9A"/>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uiPriority w:val="99"/>
    <w:rsid w:val="002A5A9A"/>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uiPriority w:val="99"/>
    <w:semiHidden/>
    <w:rsid w:val="002A5A9A"/>
    <w:pPr>
      <w:ind w:left="800"/>
    </w:pPr>
    <w:rPr>
      <w:sz w:val="18"/>
      <w:szCs w:val="18"/>
    </w:rPr>
  </w:style>
  <w:style w:type="paragraph" w:customStyle="1" w:styleId="ZZAnxheader">
    <w:name w:val="ZZ_Anx_header"/>
    <w:basedOn w:val="Normal-pool"/>
    <w:uiPriority w:val="99"/>
    <w:rsid w:val="002A5A9A"/>
    <w:rPr>
      <w:b/>
      <w:bCs/>
      <w:sz w:val="28"/>
      <w:szCs w:val="22"/>
    </w:rPr>
  </w:style>
  <w:style w:type="paragraph" w:customStyle="1" w:styleId="ZZAnxtitle">
    <w:name w:val="ZZ_Anx_title"/>
    <w:basedOn w:val="Normal-pool"/>
    <w:uiPriority w:val="99"/>
    <w:rsid w:val="002A5A9A"/>
    <w:pPr>
      <w:spacing w:before="360" w:after="120"/>
      <w:ind w:left="1247"/>
    </w:pPr>
    <w:rPr>
      <w:b/>
      <w:bCs/>
      <w:sz w:val="28"/>
      <w:szCs w:val="26"/>
    </w:rPr>
  </w:style>
  <w:style w:type="character" w:customStyle="1" w:styleId="Normal-poolChar">
    <w:name w:val="Normal-pool Char"/>
    <w:link w:val="Normal-pool"/>
    <w:uiPriority w:val="99"/>
    <w:locked/>
    <w:rsid w:val="006E52CF"/>
    <w:rPr>
      <w:lang w:val="en-GB" w:eastAsia="zh-CN"/>
    </w:rPr>
  </w:style>
  <w:style w:type="character" w:customStyle="1" w:styleId="CH2Char">
    <w:name w:val="CH2 Char"/>
    <w:link w:val="CH2"/>
    <w:uiPriority w:val="99"/>
    <w:locked/>
    <w:rsid w:val="00E1785A"/>
    <w:rPr>
      <w:b/>
      <w:sz w:val="24"/>
      <w:lang w:val="en-GB"/>
    </w:rPr>
  </w:style>
  <w:style w:type="paragraph" w:styleId="ListParagraph">
    <w:name w:val="List Paragraph"/>
    <w:basedOn w:val="Normal"/>
    <w:uiPriority w:val="99"/>
    <w:qFormat/>
    <w:rsid w:val="00E1785A"/>
    <w:pPr>
      <w:ind w:left="720"/>
    </w:pPr>
  </w:style>
  <w:style w:type="character" w:customStyle="1" w:styleId="BBTitleChar">
    <w:name w:val="BB_Title Char"/>
    <w:link w:val="BBTitle"/>
    <w:uiPriority w:val="99"/>
    <w:locked/>
    <w:rsid w:val="00E1785A"/>
    <w:rPr>
      <w:b/>
      <w:sz w:val="28"/>
      <w:lang w:val="en-GB"/>
    </w:rPr>
  </w:style>
  <w:style w:type="character" w:customStyle="1" w:styleId="NormalnumberChar">
    <w:name w:val="Normal_number Char"/>
    <w:link w:val="Normalnumber"/>
    <w:uiPriority w:val="99"/>
    <w:locked/>
    <w:rsid w:val="00E1785A"/>
    <w:rPr>
      <w:lang w:val="en-GB"/>
    </w:rPr>
  </w:style>
  <w:style w:type="numbering" w:customStyle="1" w:styleId="Normallist">
    <w:name w:val="Normal_list"/>
    <w:rsid w:val="006E3D99"/>
    <w:pPr>
      <w:numPr>
        <w:numId w:val="3"/>
      </w:numPr>
    </w:pPr>
  </w:style>
</w:styles>
</file>

<file path=word/webSettings.xml><?xml version="1.0" encoding="utf-8"?>
<w:webSettings xmlns:r="http://schemas.openxmlformats.org/officeDocument/2006/relationships" xmlns:w="http://schemas.openxmlformats.org/wordprocessingml/2006/main">
  <w:divs>
    <w:div w:id="1144926828">
      <w:marLeft w:val="0"/>
      <w:marRight w:val="0"/>
      <w:marTop w:val="0"/>
      <w:marBottom w:val="0"/>
      <w:divBdr>
        <w:top w:val="none" w:sz="0" w:space="0" w:color="auto"/>
        <w:left w:val="none" w:sz="0" w:space="0" w:color="auto"/>
        <w:bottom w:val="none" w:sz="0" w:space="0" w:color="auto"/>
        <w:right w:val="none" w:sz="0" w:space="0" w:color="auto"/>
      </w:divBdr>
    </w:div>
    <w:div w:id="1144926829">
      <w:marLeft w:val="0"/>
      <w:marRight w:val="0"/>
      <w:marTop w:val="0"/>
      <w:marBottom w:val="0"/>
      <w:divBdr>
        <w:top w:val="none" w:sz="0" w:space="0" w:color="auto"/>
        <w:left w:val="none" w:sz="0" w:space="0" w:color="auto"/>
        <w:bottom w:val="none" w:sz="0" w:space="0" w:color="auto"/>
        <w:right w:val="none" w:sz="0" w:space="0" w:color="auto"/>
      </w:divBdr>
    </w:div>
    <w:div w:id="1144926830">
      <w:marLeft w:val="0"/>
      <w:marRight w:val="0"/>
      <w:marTop w:val="0"/>
      <w:marBottom w:val="0"/>
      <w:divBdr>
        <w:top w:val="none" w:sz="0" w:space="0" w:color="auto"/>
        <w:left w:val="none" w:sz="0" w:space="0" w:color="auto"/>
        <w:bottom w:val="none" w:sz="0" w:space="0" w:color="auto"/>
        <w:right w:val="none" w:sz="0" w:space="0" w:color="auto"/>
      </w:divBdr>
    </w:div>
    <w:div w:id="11449268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global.chemtrec.com"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great.cla.gov.tw/ENG/index.asp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pec.org"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6</Pages>
  <Words>1677</Words>
  <Characters>9563</Characters>
  <Application>Microsoft Office Outlook</Application>
  <DocSecurity>0</DocSecurity>
  <Lines>0</Lines>
  <Paragraphs>0</Paragraphs>
  <ScaleCrop>false</ScaleCrop>
  <Company>unon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subject/>
  <dc:creator>nikki criticos</dc:creator>
  <cp:keywords/>
  <dc:description/>
  <cp:lastModifiedBy>.</cp:lastModifiedBy>
  <cp:revision>2</cp:revision>
  <cp:lastPrinted>2015-09-11T09:06:00Z</cp:lastPrinted>
  <dcterms:created xsi:type="dcterms:W3CDTF">2015-09-29T10:08:00Z</dcterms:created>
  <dcterms:modified xsi:type="dcterms:W3CDTF">2015-09-29T10:08:00Z</dcterms:modified>
</cp:coreProperties>
</file>